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54C5" w14:textId="77777777" w:rsidR="00F91312" w:rsidRDefault="00AF34FD" w:rsidP="00506873">
      <w:pPr>
        <w:jc w:val="center"/>
        <w:rPr>
          <w:iCs/>
          <w:sz w:val="28"/>
          <w:szCs w:val="28"/>
        </w:rPr>
      </w:pPr>
      <w:r w:rsidRPr="00AF34FD">
        <w:rPr>
          <w:iCs/>
          <w:sz w:val="28"/>
          <w:szCs w:val="28"/>
        </w:rPr>
        <w:t>Pattern of Muscle Contraction in Car Pedal Control</w:t>
      </w:r>
    </w:p>
    <w:p w14:paraId="1AA622AA" w14:textId="77777777" w:rsidR="00645512" w:rsidRPr="00D36665" w:rsidRDefault="00645512" w:rsidP="00E0550F">
      <w:pPr>
        <w:rPr>
          <w:iCs/>
          <w:sz w:val="20"/>
          <w:szCs w:val="20"/>
        </w:rPr>
      </w:pPr>
    </w:p>
    <w:p w14:paraId="728C8834" w14:textId="13226567" w:rsidR="00645512" w:rsidRPr="00C17097" w:rsidRDefault="00E0550F" w:rsidP="00645512">
      <w:pPr>
        <w:pStyle w:val="TTPAuthors"/>
        <w:rPr>
          <w:rFonts w:ascii="Times New Roman" w:hAnsi="Times New Roman" w:cs="Times New Roman"/>
          <w:sz w:val="18"/>
          <w:szCs w:val="18"/>
        </w:rPr>
      </w:pPr>
      <w:r>
        <w:rPr>
          <w:rFonts w:ascii="Times New Roman" w:hAnsi="Times New Roman" w:cs="Times New Roman"/>
          <w:sz w:val="18"/>
          <w:szCs w:val="18"/>
        </w:rPr>
        <w:t>1</w:t>
      </w:r>
      <w:r w:rsidRPr="00E0550F">
        <w:rPr>
          <w:rFonts w:ascii="Times New Roman" w:hAnsi="Times New Roman" w:cs="Times New Roman"/>
          <w:sz w:val="18"/>
          <w:szCs w:val="18"/>
          <w:vertAlign w:val="superscript"/>
        </w:rPr>
        <w:t>st</w:t>
      </w:r>
      <w:r>
        <w:rPr>
          <w:rFonts w:ascii="Times New Roman" w:hAnsi="Times New Roman" w:cs="Times New Roman"/>
          <w:sz w:val="18"/>
          <w:szCs w:val="18"/>
        </w:rPr>
        <w:t xml:space="preserve"> author’s full </w:t>
      </w:r>
      <w:proofErr w:type="spellStart"/>
      <w:proofErr w:type="gramStart"/>
      <w:r>
        <w:rPr>
          <w:rFonts w:ascii="Times New Roman" w:hAnsi="Times New Roman" w:cs="Times New Roman"/>
          <w:sz w:val="18"/>
          <w:szCs w:val="18"/>
        </w:rPr>
        <w:t>name</w:t>
      </w:r>
      <w:r w:rsidR="00645512" w:rsidRPr="00C17097">
        <w:rPr>
          <w:rFonts w:ascii="Times New Roman" w:hAnsi="Times New Roman" w:cs="Times New Roman"/>
          <w:sz w:val="18"/>
          <w:szCs w:val="18"/>
          <w:vertAlign w:val="superscript"/>
        </w:rPr>
        <w:t>a</w:t>
      </w:r>
      <w:r w:rsidR="00645512">
        <w:rPr>
          <w:rFonts w:ascii="Times New Roman" w:hAnsi="Times New Roman" w:cs="Times New Roman"/>
          <w:sz w:val="18"/>
          <w:szCs w:val="18"/>
          <w:vertAlign w:val="superscript"/>
        </w:rPr>
        <w:t>,b</w:t>
      </w:r>
      <w:proofErr w:type="spellEnd"/>
      <w:proofErr w:type="gramEnd"/>
      <w:r w:rsidR="00645512" w:rsidRPr="00B13A43">
        <w:rPr>
          <w:rFonts w:ascii="Times New Roman" w:hAnsi="Times New Roman" w:cs="Times New Roman"/>
          <w:sz w:val="18"/>
          <w:szCs w:val="18"/>
          <w:vertAlign w:val="superscript"/>
        </w:rPr>
        <w:t xml:space="preserve">* </w:t>
      </w:r>
      <w:r w:rsidR="00645512">
        <w:rPr>
          <w:rFonts w:ascii="Times New Roman" w:hAnsi="Times New Roman" w:cs="Times New Roman"/>
          <w:sz w:val="18"/>
          <w:szCs w:val="18"/>
        </w:rPr>
        <w:t xml:space="preserve">, </w:t>
      </w:r>
      <w:r>
        <w:rPr>
          <w:rFonts w:ascii="Times New Roman" w:hAnsi="Times New Roman" w:cs="Times New Roman"/>
          <w:sz w:val="18"/>
          <w:szCs w:val="18"/>
        </w:rPr>
        <w:t>2</w:t>
      </w:r>
      <w:r w:rsidRPr="00E0550F">
        <w:rPr>
          <w:rFonts w:ascii="Times New Roman" w:hAnsi="Times New Roman" w:cs="Times New Roman"/>
          <w:sz w:val="18"/>
          <w:szCs w:val="18"/>
          <w:vertAlign w:val="superscript"/>
        </w:rPr>
        <w:t>nd</w:t>
      </w:r>
      <w:r>
        <w:rPr>
          <w:rFonts w:ascii="Times New Roman" w:hAnsi="Times New Roman" w:cs="Times New Roman"/>
          <w:sz w:val="18"/>
          <w:szCs w:val="18"/>
        </w:rPr>
        <w:t xml:space="preserve"> author’s full </w:t>
      </w:r>
      <w:proofErr w:type="spellStart"/>
      <w:r>
        <w:rPr>
          <w:rFonts w:ascii="Times New Roman" w:hAnsi="Times New Roman" w:cs="Times New Roman"/>
          <w:sz w:val="18"/>
          <w:szCs w:val="18"/>
        </w:rPr>
        <w:t>name</w:t>
      </w:r>
      <w:r w:rsidR="00645512" w:rsidRPr="00C17097">
        <w:rPr>
          <w:rFonts w:ascii="Times New Roman" w:hAnsi="Times New Roman" w:cs="Times New Roman"/>
          <w:sz w:val="18"/>
          <w:szCs w:val="18"/>
          <w:vertAlign w:val="superscript"/>
        </w:rPr>
        <w:t>a,c</w:t>
      </w:r>
      <w:proofErr w:type="spellEnd"/>
      <w:r w:rsidR="00645512" w:rsidRPr="00C17097">
        <w:rPr>
          <w:rFonts w:ascii="Times New Roman" w:hAnsi="Times New Roman" w:cs="Times New Roman"/>
          <w:sz w:val="18"/>
          <w:szCs w:val="18"/>
        </w:rPr>
        <w:t xml:space="preserve">, </w:t>
      </w:r>
      <w:r>
        <w:rPr>
          <w:rFonts w:ascii="Times New Roman" w:hAnsi="Times New Roman" w:cs="Times New Roman"/>
          <w:sz w:val="18"/>
          <w:szCs w:val="18"/>
        </w:rPr>
        <w:t>3</w:t>
      </w:r>
      <w:r w:rsidRPr="00E0550F">
        <w:rPr>
          <w:rFonts w:ascii="Times New Roman" w:hAnsi="Times New Roman" w:cs="Times New Roman"/>
          <w:sz w:val="18"/>
          <w:szCs w:val="18"/>
          <w:vertAlign w:val="superscript"/>
        </w:rPr>
        <w:t>rd</w:t>
      </w:r>
      <w:r>
        <w:rPr>
          <w:rFonts w:ascii="Times New Roman" w:hAnsi="Times New Roman" w:cs="Times New Roman"/>
          <w:sz w:val="18"/>
          <w:szCs w:val="18"/>
        </w:rPr>
        <w:t xml:space="preserve"> author’s full </w:t>
      </w:r>
      <w:proofErr w:type="spellStart"/>
      <w:r>
        <w:rPr>
          <w:rFonts w:ascii="Times New Roman" w:hAnsi="Times New Roman" w:cs="Times New Roman"/>
          <w:sz w:val="18"/>
          <w:szCs w:val="18"/>
        </w:rPr>
        <w:t>name</w:t>
      </w:r>
      <w:r w:rsidR="00645512" w:rsidRPr="00C17097">
        <w:rPr>
          <w:rFonts w:ascii="Times New Roman" w:hAnsi="Times New Roman" w:cs="Times New Roman"/>
          <w:sz w:val="18"/>
          <w:szCs w:val="18"/>
          <w:vertAlign w:val="superscript"/>
        </w:rPr>
        <w:t>a,c</w:t>
      </w:r>
      <w:proofErr w:type="spellEnd"/>
      <w:r w:rsidR="00645512" w:rsidRPr="00C17097">
        <w:rPr>
          <w:rFonts w:ascii="Times New Roman" w:hAnsi="Times New Roman" w:cs="Times New Roman"/>
          <w:sz w:val="18"/>
          <w:szCs w:val="18"/>
        </w:rPr>
        <w:t xml:space="preserve"> </w:t>
      </w:r>
      <w:r>
        <w:rPr>
          <w:rFonts w:ascii="Times New Roman" w:hAnsi="Times New Roman" w:cs="Times New Roman"/>
          <w:sz w:val="18"/>
          <w:szCs w:val="18"/>
        </w:rPr>
        <w:t>&amp; 4</w:t>
      </w:r>
      <w:r w:rsidRPr="00E0550F">
        <w:rPr>
          <w:rFonts w:ascii="Times New Roman" w:hAnsi="Times New Roman" w:cs="Times New Roman"/>
          <w:sz w:val="18"/>
          <w:szCs w:val="18"/>
          <w:vertAlign w:val="superscript"/>
        </w:rPr>
        <w:t>th</w:t>
      </w:r>
      <w:r>
        <w:rPr>
          <w:rFonts w:ascii="Times New Roman" w:hAnsi="Times New Roman" w:cs="Times New Roman"/>
          <w:sz w:val="18"/>
          <w:szCs w:val="18"/>
        </w:rPr>
        <w:t xml:space="preserve"> author’s full name</w:t>
      </w:r>
      <w:r w:rsidR="00645512" w:rsidRPr="00C17097">
        <w:rPr>
          <w:rFonts w:ascii="Times New Roman" w:hAnsi="Times New Roman" w:cs="Times New Roman"/>
          <w:sz w:val="18"/>
          <w:szCs w:val="18"/>
          <w:vertAlign w:val="superscript"/>
        </w:rPr>
        <w:t>d</w:t>
      </w:r>
    </w:p>
    <w:p w14:paraId="145238CA" w14:textId="77777777" w:rsidR="00645512" w:rsidRPr="00C17097" w:rsidRDefault="00645512" w:rsidP="00645512">
      <w:pPr>
        <w:pStyle w:val="TTPAuthors"/>
        <w:rPr>
          <w:rFonts w:ascii="Times New Roman" w:hAnsi="Times New Roman" w:cs="Times New Roman"/>
          <w:sz w:val="18"/>
          <w:szCs w:val="18"/>
        </w:rPr>
      </w:pPr>
    </w:p>
    <w:p w14:paraId="315967A3" w14:textId="366FF2E5" w:rsidR="00645512" w:rsidRDefault="00645512" w:rsidP="00645512">
      <w:pPr>
        <w:contextualSpacing/>
        <w:jc w:val="center"/>
        <w:rPr>
          <w:i/>
          <w:sz w:val="18"/>
          <w:szCs w:val="18"/>
          <w:lang w:val="en-GB"/>
        </w:rPr>
      </w:pPr>
      <w:proofErr w:type="spellStart"/>
      <w:r w:rsidRPr="00B13A43">
        <w:rPr>
          <w:i/>
          <w:sz w:val="18"/>
          <w:szCs w:val="18"/>
          <w:vertAlign w:val="superscript"/>
          <w:lang w:val="en-GB"/>
        </w:rPr>
        <w:t>a</w:t>
      </w:r>
      <w:r w:rsidR="00E0550F">
        <w:rPr>
          <w:i/>
          <w:sz w:val="18"/>
          <w:szCs w:val="18"/>
          <w:lang w:val="en-GB"/>
        </w:rPr>
        <w:t>Affiliation</w:t>
      </w:r>
      <w:proofErr w:type="spellEnd"/>
      <w:r>
        <w:rPr>
          <w:i/>
          <w:sz w:val="18"/>
          <w:szCs w:val="18"/>
          <w:lang w:val="en-GB"/>
        </w:rPr>
        <w:t>,</w:t>
      </w:r>
    </w:p>
    <w:p w14:paraId="4DE9B247" w14:textId="009E2B88" w:rsidR="00645512" w:rsidRDefault="00645512" w:rsidP="00645512">
      <w:pPr>
        <w:contextualSpacing/>
        <w:jc w:val="center"/>
        <w:rPr>
          <w:i/>
          <w:sz w:val="18"/>
          <w:szCs w:val="18"/>
          <w:lang w:val="en-GB"/>
        </w:rPr>
      </w:pPr>
      <w:proofErr w:type="spellStart"/>
      <w:r w:rsidRPr="00A85F8C">
        <w:rPr>
          <w:i/>
          <w:sz w:val="18"/>
          <w:szCs w:val="18"/>
          <w:vertAlign w:val="superscript"/>
          <w:lang w:val="en-GB"/>
        </w:rPr>
        <w:t>b</w:t>
      </w:r>
      <w:r w:rsidR="00E0550F">
        <w:rPr>
          <w:i/>
          <w:sz w:val="18"/>
          <w:szCs w:val="18"/>
          <w:lang w:val="en-GB"/>
        </w:rPr>
        <w:t>Affiliation</w:t>
      </w:r>
      <w:proofErr w:type="spellEnd"/>
      <w:r w:rsidR="00E0550F">
        <w:rPr>
          <w:i/>
          <w:sz w:val="18"/>
          <w:szCs w:val="18"/>
          <w:lang w:val="en-GB"/>
        </w:rPr>
        <w:t xml:space="preserve"> </w:t>
      </w:r>
    </w:p>
    <w:p w14:paraId="41061401" w14:textId="105F33E7" w:rsidR="00E0550F" w:rsidRDefault="00645512" w:rsidP="00645512">
      <w:pPr>
        <w:contextualSpacing/>
        <w:jc w:val="center"/>
        <w:rPr>
          <w:i/>
          <w:sz w:val="18"/>
          <w:szCs w:val="18"/>
          <w:lang w:val="en-GB"/>
        </w:rPr>
      </w:pPr>
      <w:proofErr w:type="spellStart"/>
      <w:r w:rsidRPr="00A85F8C">
        <w:rPr>
          <w:i/>
          <w:sz w:val="18"/>
          <w:szCs w:val="18"/>
          <w:vertAlign w:val="superscript"/>
          <w:lang w:val="en-GB"/>
        </w:rPr>
        <w:t>c</w:t>
      </w:r>
      <w:r w:rsidR="00E0550F">
        <w:rPr>
          <w:i/>
          <w:sz w:val="18"/>
          <w:szCs w:val="18"/>
          <w:lang w:val="en-GB"/>
        </w:rPr>
        <w:t>Affiliation</w:t>
      </w:r>
      <w:proofErr w:type="spellEnd"/>
      <w:r w:rsidR="00E0550F">
        <w:rPr>
          <w:i/>
          <w:sz w:val="18"/>
          <w:szCs w:val="18"/>
          <w:lang w:val="en-GB"/>
        </w:rPr>
        <w:t xml:space="preserve"> </w:t>
      </w:r>
    </w:p>
    <w:p w14:paraId="54DEBA36" w14:textId="2F56CE94" w:rsidR="001070BE" w:rsidRDefault="00645512" w:rsidP="00645512">
      <w:pPr>
        <w:pStyle w:val="TTPAddress"/>
        <w:spacing w:before="0"/>
        <w:rPr>
          <w:rFonts w:ascii="Times New Roman" w:hAnsi="Times New Roman" w:cs="Times New Roman"/>
          <w:i/>
          <w:sz w:val="18"/>
          <w:szCs w:val="18"/>
        </w:rPr>
      </w:pPr>
      <w:proofErr w:type="spellStart"/>
      <w:r>
        <w:rPr>
          <w:rFonts w:ascii="Times New Roman" w:hAnsi="Times New Roman" w:cs="Times New Roman"/>
          <w:i/>
          <w:sz w:val="18"/>
          <w:szCs w:val="18"/>
          <w:vertAlign w:val="superscript"/>
        </w:rPr>
        <w:t>d</w:t>
      </w:r>
      <w:r w:rsidR="00E0550F" w:rsidRPr="00E0550F">
        <w:rPr>
          <w:rFonts w:ascii="Times New Roman" w:hAnsi="Times New Roman" w:cs="Times New Roman"/>
          <w:i/>
          <w:sz w:val="18"/>
          <w:szCs w:val="18"/>
        </w:rPr>
        <w:t>Affiliation</w:t>
      </w:r>
      <w:proofErr w:type="spellEnd"/>
    </w:p>
    <w:p w14:paraId="303FDD4E" w14:textId="77777777" w:rsidR="00E0550F" w:rsidRDefault="00E0550F" w:rsidP="00645512">
      <w:pPr>
        <w:pStyle w:val="TTPAddress"/>
        <w:spacing w:before="0"/>
        <w:rPr>
          <w:rFonts w:ascii="Times New Roman" w:hAnsi="Times New Roman" w:cs="Times New Roman"/>
          <w:i/>
          <w:sz w:val="18"/>
          <w:szCs w:val="18"/>
        </w:rPr>
      </w:pPr>
    </w:p>
    <w:p w14:paraId="6F64D44F" w14:textId="6EA5AF0D" w:rsidR="006D12AB" w:rsidRPr="007B2AC5" w:rsidRDefault="006D12AB" w:rsidP="006D12AB">
      <w:pPr>
        <w:jc w:val="center"/>
        <w:rPr>
          <w:i/>
          <w:sz w:val="18"/>
          <w:szCs w:val="18"/>
          <w:lang w:val="ms-MY"/>
        </w:rPr>
      </w:pPr>
      <w:r w:rsidRPr="007B2AC5">
        <w:rPr>
          <w:rFonts w:eastAsia="Times New Roman"/>
          <w:i/>
          <w:iCs/>
          <w:sz w:val="18"/>
          <w:szCs w:val="18"/>
        </w:rPr>
        <w:t xml:space="preserve">*Corresponding author: </w:t>
      </w:r>
      <w:r w:rsidR="00E0550F">
        <w:rPr>
          <w:rFonts w:eastAsia="Times New Roman"/>
          <w:i/>
          <w:iCs/>
          <w:sz w:val="18"/>
          <w:szCs w:val="18"/>
        </w:rPr>
        <w:t>email address</w:t>
      </w:r>
    </w:p>
    <w:p w14:paraId="0A31BC8F" w14:textId="77777777" w:rsidR="00645512" w:rsidRPr="0010460E" w:rsidRDefault="00645512" w:rsidP="00645512">
      <w:pPr>
        <w:pStyle w:val="TTPAddress"/>
        <w:spacing w:before="0"/>
        <w:rPr>
          <w:rFonts w:ascii="Times New Roman" w:hAnsi="Times New Roman" w:cs="Times New Roman"/>
          <w:i/>
          <w:sz w:val="18"/>
          <w:szCs w:val="18"/>
        </w:rPr>
      </w:pPr>
    </w:p>
    <w:p w14:paraId="311B761E" w14:textId="3274BCA0" w:rsidR="00A0182B" w:rsidRPr="00A403F3" w:rsidRDefault="00A0182B" w:rsidP="00A0182B">
      <w:pPr>
        <w:jc w:val="center"/>
        <w:rPr>
          <w:i/>
          <w:sz w:val="18"/>
          <w:szCs w:val="18"/>
        </w:rPr>
      </w:pPr>
      <w:r>
        <w:rPr>
          <w:i/>
          <w:sz w:val="18"/>
          <w:szCs w:val="18"/>
        </w:rPr>
        <w:t>Received</w:t>
      </w:r>
      <w:r w:rsidRPr="00A403F3">
        <w:rPr>
          <w:i/>
          <w:sz w:val="18"/>
          <w:szCs w:val="18"/>
        </w:rPr>
        <w:t xml:space="preserve"> </w:t>
      </w:r>
      <w:r w:rsidR="00E81F1B">
        <w:rPr>
          <w:i/>
          <w:sz w:val="18"/>
          <w:szCs w:val="18"/>
        </w:rPr>
        <w:t>(date/month/year)</w:t>
      </w:r>
      <w:r>
        <w:rPr>
          <w:i/>
          <w:sz w:val="18"/>
          <w:szCs w:val="18"/>
        </w:rPr>
        <w:t>, Received in revised form</w:t>
      </w:r>
      <w:r w:rsidRPr="00A403F3">
        <w:rPr>
          <w:i/>
          <w:sz w:val="18"/>
          <w:szCs w:val="18"/>
        </w:rPr>
        <w:t xml:space="preserve"> </w:t>
      </w:r>
      <w:r w:rsidR="00E81F1B">
        <w:rPr>
          <w:i/>
          <w:sz w:val="18"/>
          <w:szCs w:val="18"/>
        </w:rPr>
        <w:t>(date/month/year)</w:t>
      </w:r>
    </w:p>
    <w:p w14:paraId="058F3146" w14:textId="409CB8BF" w:rsidR="00A0182B" w:rsidRPr="00A403F3" w:rsidRDefault="00A0182B" w:rsidP="00A0182B">
      <w:pPr>
        <w:jc w:val="center"/>
        <w:rPr>
          <w:i/>
          <w:sz w:val="18"/>
          <w:szCs w:val="18"/>
        </w:rPr>
      </w:pPr>
      <w:r>
        <w:rPr>
          <w:i/>
          <w:sz w:val="18"/>
          <w:szCs w:val="18"/>
        </w:rPr>
        <w:t xml:space="preserve">Accepted </w:t>
      </w:r>
      <w:r w:rsidR="00E81F1B">
        <w:rPr>
          <w:i/>
          <w:sz w:val="18"/>
          <w:szCs w:val="18"/>
        </w:rPr>
        <w:t>(date/month/year)</w:t>
      </w:r>
      <w:r>
        <w:rPr>
          <w:i/>
          <w:sz w:val="18"/>
          <w:szCs w:val="18"/>
        </w:rPr>
        <w:t xml:space="preserve">, Available online </w:t>
      </w:r>
      <w:r w:rsidR="00E81F1B">
        <w:rPr>
          <w:i/>
          <w:sz w:val="18"/>
          <w:szCs w:val="18"/>
        </w:rPr>
        <w:t>(date/month/year)</w:t>
      </w:r>
    </w:p>
    <w:p w14:paraId="6161EBC5" w14:textId="77777777" w:rsidR="00626EBC" w:rsidRDefault="00626EBC" w:rsidP="00506873">
      <w:pPr>
        <w:rPr>
          <w:b/>
        </w:rPr>
      </w:pPr>
    </w:p>
    <w:p w14:paraId="049EDE41" w14:textId="77777777" w:rsidR="00626EBC" w:rsidRPr="0032639E" w:rsidRDefault="005F4A2B" w:rsidP="005F4A2B">
      <w:pPr>
        <w:tabs>
          <w:tab w:val="center" w:pos="4513"/>
          <w:tab w:val="left" w:pos="6600"/>
        </w:tabs>
        <w:rPr>
          <w:sz w:val="16"/>
          <w:szCs w:val="16"/>
        </w:rPr>
      </w:pPr>
      <w:r>
        <w:rPr>
          <w:sz w:val="20"/>
          <w:szCs w:val="20"/>
        </w:rPr>
        <w:tab/>
      </w:r>
      <w:r w:rsidR="00626EBC" w:rsidRPr="0032639E">
        <w:rPr>
          <w:sz w:val="16"/>
          <w:szCs w:val="16"/>
        </w:rPr>
        <w:t>ABSTRACT</w:t>
      </w:r>
      <w:r w:rsidRPr="0032639E">
        <w:rPr>
          <w:sz w:val="16"/>
          <w:szCs w:val="16"/>
        </w:rPr>
        <w:tab/>
      </w:r>
    </w:p>
    <w:p w14:paraId="5DC1167D" w14:textId="77777777" w:rsidR="00626EBC" w:rsidRPr="007218C0" w:rsidRDefault="00626EBC" w:rsidP="002D3683">
      <w:pPr>
        <w:contextualSpacing/>
        <w:jc w:val="both"/>
        <w:rPr>
          <w:sz w:val="20"/>
          <w:szCs w:val="20"/>
        </w:rPr>
      </w:pPr>
    </w:p>
    <w:p w14:paraId="5388A010" w14:textId="5338FA15" w:rsidR="00AF34FD" w:rsidRPr="00E0550F" w:rsidRDefault="00E0550F" w:rsidP="00AF34FD">
      <w:pPr>
        <w:contextualSpacing/>
        <w:jc w:val="both"/>
        <w:rPr>
          <w:b/>
          <w:bCs/>
          <w:i/>
          <w:sz w:val="20"/>
          <w:szCs w:val="20"/>
          <w:lang w:val="en-GB"/>
        </w:rPr>
      </w:pPr>
      <w:r w:rsidRPr="003C24FC">
        <w:rPr>
          <w:b/>
          <w:bCs/>
          <w:i/>
          <w:sz w:val="20"/>
          <w:szCs w:val="20"/>
          <w:highlight w:val="darkGray"/>
          <w:lang w:val="en-GB"/>
        </w:rPr>
        <w:t>*Please provide 200 – 250 words of abstract</w:t>
      </w:r>
    </w:p>
    <w:p w14:paraId="3B7159CF" w14:textId="5DCE0FCC" w:rsidR="00AF34FD" w:rsidRDefault="00AF34FD" w:rsidP="00AF34FD">
      <w:pPr>
        <w:contextualSpacing/>
        <w:jc w:val="both"/>
        <w:rPr>
          <w:i/>
          <w:sz w:val="20"/>
          <w:szCs w:val="20"/>
          <w:lang w:val="en-GB"/>
        </w:rPr>
      </w:pPr>
    </w:p>
    <w:p w14:paraId="66C6CA27" w14:textId="2901FBEE" w:rsidR="009A017A" w:rsidRPr="004C3436" w:rsidRDefault="009A017A" w:rsidP="009A017A">
      <w:pPr>
        <w:contextualSpacing/>
        <w:jc w:val="both"/>
        <w:rPr>
          <w:i/>
          <w:sz w:val="20"/>
          <w:szCs w:val="20"/>
          <w:lang w:val="en-GB"/>
        </w:rPr>
      </w:pPr>
      <w:r w:rsidRPr="004C3436">
        <w:rPr>
          <w:i/>
          <w:sz w:val="20"/>
          <w:szCs w:val="20"/>
          <w:lang w:val="en-GB"/>
        </w:rPr>
        <w:t>Driver’s discomfort has gained a lot of attention, especially among interested parties. There are many interacting factors involving both the driver and the interior components of the car that contribute to discomfort while driving. In this study, an investigation was carried out on the contraction of the lower leg muscle among drivers when operating the accelerator pedal. The main objective of this study was to determine the pattern of muscle contraction when operating the accelerator pedal with regard to three different actions; pressing, half-pressing and releasing. Eleven participants were involved in this investigation into the muscle pattern, whereby surface electromyography (SEMG) was used to measure the activity of the lower leg muscle, known as the tibialis anterior (TA). The data collection procedure on the selected muscle was in accordance with the SEMG recommendations for the Non-Invasive Assessment of Muscles. Based on the results, the TA depicted that the highest muscle contraction occurred during the releasing action. In addition, there were significant differences between each action in the T-test analysis with p&lt;0.05. It can be concluded that the TA muscle works differently based on the car pedal actions.</w:t>
      </w:r>
    </w:p>
    <w:p w14:paraId="4540ECBC" w14:textId="77777777" w:rsidR="009A017A" w:rsidRPr="004C3436" w:rsidRDefault="009A017A" w:rsidP="00AF34FD">
      <w:pPr>
        <w:contextualSpacing/>
        <w:jc w:val="both"/>
        <w:rPr>
          <w:i/>
          <w:sz w:val="20"/>
          <w:szCs w:val="20"/>
          <w:lang w:val="en-GB"/>
        </w:rPr>
      </w:pPr>
    </w:p>
    <w:p w14:paraId="068F256E" w14:textId="2253885A" w:rsidR="00AF34FD" w:rsidRDefault="00AF34FD" w:rsidP="00AF34FD">
      <w:pPr>
        <w:contextualSpacing/>
        <w:rPr>
          <w:bCs/>
          <w:i/>
          <w:sz w:val="20"/>
          <w:szCs w:val="20"/>
          <w:lang w:val="en-GB"/>
        </w:rPr>
      </w:pPr>
      <w:r w:rsidRPr="003C24FC">
        <w:rPr>
          <w:i/>
          <w:sz w:val="20"/>
          <w:szCs w:val="20"/>
          <w:highlight w:val="darkGray"/>
          <w:lang w:val="en-GB"/>
        </w:rPr>
        <w:t xml:space="preserve">Keywords: </w:t>
      </w:r>
      <w:r w:rsidRPr="003C24FC">
        <w:rPr>
          <w:bCs/>
          <w:i/>
          <w:sz w:val="20"/>
          <w:szCs w:val="20"/>
          <w:highlight w:val="darkGray"/>
          <w:lang w:val="en-GB"/>
        </w:rPr>
        <w:t xml:space="preserve"> </w:t>
      </w:r>
      <w:r w:rsidR="00E0550F" w:rsidRPr="003C24FC">
        <w:rPr>
          <w:bCs/>
          <w:i/>
          <w:sz w:val="20"/>
          <w:szCs w:val="20"/>
          <w:highlight w:val="darkGray"/>
          <w:lang w:val="en-GB"/>
        </w:rPr>
        <w:t>Please provide up to five (5) relevant keywords</w:t>
      </w:r>
    </w:p>
    <w:p w14:paraId="3C9BAE86" w14:textId="77777777" w:rsidR="00AF34FD" w:rsidRPr="004C3436" w:rsidRDefault="00AF34FD" w:rsidP="00AF34FD">
      <w:pPr>
        <w:contextualSpacing/>
        <w:rPr>
          <w:bCs/>
          <w:i/>
          <w:sz w:val="20"/>
          <w:szCs w:val="20"/>
          <w:lang w:val="en-GB"/>
        </w:rPr>
      </w:pPr>
    </w:p>
    <w:p w14:paraId="242C5C70" w14:textId="77777777" w:rsidR="00AF34FD" w:rsidRDefault="00AF34FD" w:rsidP="00E0550F">
      <w:pPr>
        <w:pStyle w:val="BodyText"/>
        <w:spacing w:line="240" w:lineRule="auto"/>
        <w:ind w:firstLine="0"/>
        <w:contextualSpacing/>
      </w:pPr>
    </w:p>
    <w:p w14:paraId="54E2E949" w14:textId="77777777" w:rsidR="0032639E" w:rsidRDefault="0032639E" w:rsidP="00DA17A3">
      <w:pPr>
        <w:pStyle w:val="BodyText"/>
        <w:spacing w:line="240" w:lineRule="auto"/>
        <w:ind w:firstLine="0"/>
        <w:contextualSpacing/>
        <w:jc w:val="center"/>
        <w:rPr>
          <w:sz w:val="16"/>
          <w:szCs w:val="16"/>
        </w:rPr>
        <w:sectPr w:rsidR="0032639E" w:rsidSect="004E3A3D">
          <w:headerReference w:type="even" r:id="rId8"/>
          <w:headerReference w:type="default" r:id="rId9"/>
          <w:footerReference w:type="even" r:id="rId10"/>
          <w:footerReference w:type="default" r:id="rId11"/>
          <w:type w:val="continuous"/>
          <w:pgSz w:w="11906" w:h="16838"/>
          <w:pgMar w:top="1440" w:right="1440" w:bottom="1440" w:left="1440" w:header="708" w:footer="708" w:gutter="0"/>
          <w:cols w:space="708"/>
          <w:docGrid w:linePitch="360"/>
        </w:sectPr>
      </w:pPr>
    </w:p>
    <w:p w14:paraId="00DA0C37" w14:textId="130158EE" w:rsidR="00DA17A3" w:rsidRPr="008F4700" w:rsidRDefault="00626EBC" w:rsidP="00DA17A3">
      <w:pPr>
        <w:pStyle w:val="BodyText"/>
        <w:spacing w:line="240" w:lineRule="auto"/>
        <w:ind w:firstLine="0"/>
        <w:contextualSpacing/>
        <w:jc w:val="center"/>
      </w:pPr>
      <w:r w:rsidRPr="008F4700">
        <w:t>INTRODUCTION</w:t>
      </w:r>
    </w:p>
    <w:p w14:paraId="48134776" w14:textId="77777777" w:rsidR="00DA17A3" w:rsidRDefault="00DA17A3" w:rsidP="00DA17A3">
      <w:pPr>
        <w:pStyle w:val="BodyText"/>
        <w:spacing w:line="240" w:lineRule="auto"/>
        <w:ind w:firstLine="0"/>
        <w:contextualSpacing/>
        <w:jc w:val="both"/>
      </w:pPr>
    </w:p>
    <w:p w14:paraId="26A95D86" w14:textId="77777777" w:rsidR="00AF34FD" w:rsidRPr="00461731" w:rsidRDefault="00AF34FD" w:rsidP="00AF34FD">
      <w:pPr>
        <w:contextualSpacing/>
        <w:jc w:val="both"/>
        <w:rPr>
          <w:rFonts w:eastAsia="Times New Roman"/>
          <w:sz w:val="20"/>
          <w:szCs w:val="20"/>
          <w:lang w:eastAsia="en-US"/>
        </w:rPr>
      </w:pPr>
      <w:r w:rsidRPr="00461731">
        <w:rPr>
          <w:rFonts w:eastAsia="Times New Roman"/>
          <w:sz w:val="20"/>
          <w:szCs w:val="20"/>
          <w:lang w:eastAsia="en-US"/>
        </w:rPr>
        <w:t xml:space="preserve">There are many factors that affect the driver when driving. The interaction between the driver and the interior components of the car, either for controlling the direction of the car and speed or adjusting the seat position, will influence the driver’s condition. A study conducted by </w:t>
      </w:r>
      <w:proofErr w:type="spellStart"/>
      <w:r w:rsidRPr="00461731">
        <w:rPr>
          <w:rFonts w:eastAsia="Times New Roman"/>
          <w:sz w:val="20"/>
          <w:szCs w:val="20"/>
          <w:lang w:eastAsia="en-US"/>
        </w:rPr>
        <w:t>Fatollahzadeh</w:t>
      </w:r>
      <w:proofErr w:type="spellEnd"/>
      <w:r w:rsidRPr="00461731">
        <w:rPr>
          <w:rFonts w:eastAsia="Times New Roman"/>
          <w:sz w:val="20"/>
          <w:szCs w:val="20"/>
          <w:lang w:eastAsia="en-US"/>
        </w:rPr>
        <w:t xml:space="preserve"> (2006) showed that the car pedal location is highly correlated to the driver’s preferable posture and the corresponding comfort. In fact, driving position is one of the factors leading to driver’s fatigue and health risks. In addition, most of the health risk due to driving task concentrated on the upper extremities and at </w:t>
      </w:r>
      <w:r w:rsidR="009475EA">
        <w:rPr>
          <w:rFonts w:eastAsia="Times New Roman"/>
          <w:sz w:val="20"/>
          <w:szCs w:val="20"/>
          <w:lang w:eastAsia="en-US"/>
        </w:rPr>
        <w:t>the lower back (Costanzo et al.</w:t>
      </w:r>
      <w:r w:rsidRPr="00461731">
        <w:rPr>
          <w:rFonts w:eastAsia="Times New Roman"/>
          <w:sz w:val="20"/>
          <w:szCs w:val="20"/>
          <w:lang w:eastAsia="en-US"/>
        </w:rPr>
        <w:t xml:space="preserve"> 1999</w:t>
      </w:r>
      <w:r w:rsidR="009475EA">
        <w:rPr>
          <w:rFonts w:eastAsia="Times New Roman"/>
          <w:sz w:val="20"/>
          <w:szCs w:val="20"/>
          <w:lang w:eastAsia="en-US"/>
        </w:rPr>
        <w:t>; Gyi et al. 1998; Hirao et al.</w:t>
      </w:r>
      <w:r w:rsidRPr="00461731">
        <w:rPr>
          <w:rFonts w:eastAsia="Times New Roman"/>
          <w:sz w:val="20"/>
          <w:szCs w:val="20"/>
          <w:lang w:eastAsia="en-US"/>
        </w:rPr>
        <w:t xml:space="preserve"> 2006; Porter &amp; Gyi, 1995). Hence, the driving position with regards to the driving task, </w:t>
      </w:r>
      <w:r w:rsidRPr="00461731">
        <w:rPr>
          <w:rFonts w:eastAsia="Times New Roman"/>
          <w:sz w:val="20"/>
          <w:szCs w:val="20"/>
          <w:lang w:eastAsia="en-US"/>
        </w:rPr>
        <w:t>should be given the utmost consideration in improving the car design and driver’s condition.</w:t>
      </w:r>
    </w:p>
    <w:p w14:paraId="57468E2C" w14:textId="0ADB0DDB" w:rsidR="009A017A" w:rsidRDefault="00AF34FD" w:rsidP="009A017A">
      <w:pPr>
        <w:ind w:firstLine="567"/>
        <w:contextualSpacing/>
        <w:jc w:val="both"/>
        <w:rPr>
          <w:bCs/>
          <w:sz w:val="20"/>
          <w:szCs w:val="20"/>
        </w:rPr>
      </w:pPr>
      <w:r w:rsidRPr="00461731">
        <w:rPr>
          <w:bCs/>
          <w:sz w:val="20"/>
          <w:szCs w:val="20"/>
        </w:rPr>
        <w:t xml:space="preserve">Many studies in the past literature focus on areas associated with assessment on driving task. Table 1 shows 14 studies with different objectives conducted in the past ten years from 2007 to 2017 on the interaction between the driver and the car. Based on Table 1, the car seat and steering wheel are two popular car components that frequently studied by the researcher. Only three studies were carried out on the car pedal. According to Table 1, these three studies related to the car pedal were focused on the road environment and vibration impact on the drivers. </w:t>
      </w:r>
    </w:p>
    <w:p w14:paraId="664058AA" w14:textId="4D96533D" w:rsidR="009A017A" w:rsidRDefault="009A017A" w:rsidP="00AF34FD">
      <w:pPr>
        <w:ind w:firstLine="567"/>
        <w:contextualSpacing/>
        <w:jc w:val="both"/>
        <w:rPr>
          <w:bCs/>
          <w:sz w:val="20"/>
          <w:szCs w:val="20"/>
        </w:rPr>
      </w:pPr>
    </w:p>
    <w:p w14:paraId="1B043111" w14:textId="77777777" w:rsidR="009A017A" w:rsidRPr="00461731" w:rsidRDefault="009A017A" w:rsidP="00AF34FD">
      <w:pPr>
        <w:ind w:firstLine="567"/>
        <w:contextualSpacing/>
        <w:jc w:val="both"/>
        <w:rPr>
          <w:bCs/>
          <w:sz w:val="20"/>
          <w:szCs w:val="20"/>
        </w:rPr>
      </w:pPr>
    </w:p>
    <w:p w14:paraId="205EE2E1" w14:textId="77777777" w:rsidR="00AF34FD" w:rsidRPr="00461731" w:rsidRDefault="00AF34FD" w:rsidP="00AF34FD">
      <w:pPr>
        <w:ind w:firstLine="720"/>
        <w:contextualSpacing/>
        <w:jc w:val="both"/>
        <w:rPr>
          <w:bCs/>
          <w:sz w:val="20"/>
          <w:szCs w:val="20"/>
        </w:rPr>
      </w:pPr>
    </w:p>
    <w:p w14:paraId="733299F7" w14:textId="77777777" w:rsidR="0032639E" w:rsidRDefault="0032639E" w:rsidP="00AF34FD">
      <w:pPr>
        <w:suppressAutoHyphens/>
        <w:jc w:val="center"/>
        <w:rPr>
          <w:rFonts w:eastAsia="Calibri"/>
          <w:sz w:val="18"/>
          <w:szCs w:val="18"/>
          <w:lang w:val="en-MY" w:eastAsia="en-US"/>
        </w:rPr>
        <w:sectPr w:rsidR="0032639E" w:rsidSect="0032639E">
          <w:type w:val="continuous"/>
          <w:pgSz w:w="11906" w:h="16838"/>
          <w:pgMar w:top="1440" w:right="1440" w:bottom="1440" w:left="1440" w:header="708" w:footer="708" w:gutter="0"/>
          <w:cols w:num="2" w:space="708"/>
          <w:docGrid w:linePitch="360"/>
        </w:sectPr>
      </w:pPr>
    </w:p>
    <w:p w14:paraId="77499CD3" w14:textId="77777777" w:rsidR="00181530" w:rsidRDefault="00181530" w:rsidP="00AF34FD">
      <w:pPr>
        <w:suppressAutoHyphens/>
        <w:jc w:val="center"/>
        <w:rPr>
          <w:rFonts w:eastAsia="Calibri"/>
          <w:sz w:val="18"/>
          <w:szCs w:val="18"/>
          <w:lang w:val="en-MY" w:eastAsia="en-US"/>
        </w:rPr>
      </w:pPr>
    </w:p>
    <w:p w14:paraId="2C28653F" w14:textId="77777777" w:rsidR="009A017A" w:rsidRDefault="009A017A" w:rsidP="00AF34FD">
      <w:pPr>
        <w:suppressAutoHyphens/>
        <w:jc w:val="center"/>
        <w:rPr>
          <w:rFonts w:eastAsia="Calibri"/>
          <w:sz w:val="18"/>
          <w:szCs w:val="18"/>
          <w:lang w:val="en-MY" w:eastAsia="en-US"/>
        </w:rPr>
      </w:pPr>
    </w:p>
    <w:p w14:paraId="0D8DF707" w14:textId="77777777" w:rsidR="009A017A" w:rsidRDefault="009A017A" w:rsidP="00AF34FD">
      <w:pPr>
        <w:suppressAutoHyphens/>
        <w:jc w:val="center"/>
        <w:rPr>
          <w:rFonts w:eastAsia="Calibri"/>
          <w:sz w:val="18"/>
          <w:szCs w:val="18"/>
          <w:lang w:val="en-MY" w:eastAsia="en-US"/>
        </w:rPr>
      </w:pPr>
    </w:p>
    <w:p w14:paraId="3957FE38" w14:textId="77777777" w:rsidR="009A017A" w:rsidRDefault="009A017A" w:rsidP="00AF34FD">
      <w:pPr>
        <w:suppressAutoHyphens/>
        <w:jc w:val="center"/>
        <w:rPr>
          <w:rFonts w:eastAsia="Calibri"/>
          <w:sz w:val="18"/>
          <w:szCs w:val="18"/>
          <w:lang w:val="en-MY" w:eastAsia="en-US"/>
        </w:rPr>
      </w:pPr>
    </w:p>
    <w:p w14:paraId="14DB906F" w14:textId="3C5D00F0" w:rsidR="009A017A" w:rsidRDefault="009A017A" w:rsidP="00AF34FD">
      <w:pPr>
        <w:suppressAutoHyphens/>
        <w:jc w:val="center"/>
        <w:rPr>
          <w:rFonts w:eastAsia="Calibri"/>
          <w:sz w:val="18"/>
          <w:szCs w:val="18"/>
          <w:lang w:val="en-MY" w:eastAsia="en-US"/>
        </w:rPr>
      </w:pPr>
    </w:p>
    <w:p w14:paraId="56F9C0C4" w14:textId="77777777" w:rsidR="009A017A" w:rsidRDefault="009A017A" w:rsidP="00AF34FD">
      <w:pPr>
        <w:suppressAutoHyphens/>
        <w:jc w:val="center"/>
        <w:rPr>
          <w:rFonts w:eastAsia="Calibri"/>
          <w:sz w:val="18"/>
          <w:szCs w:val="18"/>
          <w:lang w:val="en-MY" w:eastAsia="en-US"/>
        </w:rPr>
      </w:pPr>
    </w:p>
    <w:p w14:paraId="3AEBA6B6" w14:textId="77777777" w:rsidR="009A017A" w:rsidRDefault="009A017A" w:rsidP="00AF34FD">
      <w:pPr>
        <w:suppressAutoHyphens/>
        <w:jc w:val="center"/>
        <w:rPr>
          <w:rFonts w:eastAsia="Calibri"/>
          <w:sz w:val="18"/>
          <w:szCs w:val="18"/>
          <w:lang w:val="en-MY" w:eastAsia="en-US"/>
        </w:rPr>
      </w:pPr>
    </w:p>
    <w:p w14:paraId="040920A5" w14:textId="77777777" w:rsidR="009A017A" w:rsidRDefault="009A017A" w:rsidP="00AF34FD">
      <w:pPr>
        <w:suppressAutoHyphens/>
        <w:jc w:val="center"/>
        <w:rPr>
          <w:rFonts w:eastAsia="Calibri"/>
          <w:sz w:val="18"/>
          <w:szCs w:val="18"/>
          <w:lang w:val="en-MY" w:eastAsia="en-US"/>
        </w:rPr>
      </w:pPr>
    </w:p>
    <w:p w14:paraId="4E710AC0" w14:textId="77777777" w:rsidR="009A017A" w:rsidRDefault="009A017A" w:rsidP="00AF34FD">
      <w:pPr>
        <w:suppressAutoHyphens/>
        <w:jc w:val="center"/>
        <w:rPr>
          <w:rFonts w:eastAsia="Calibri"/>
          <w:sz w:val="18"/>
          <w:szCs w:val="18"/>
          <w:lang w:val="en-MY" w:eastAsia="en-US"/>
        </w:rPr>
      </w:pPr>
    </w:p>
    <w:p w14:paraId="26332439" w14:textId="77777777" w:rsidR="009A017A" w:rsidRDefault="009A017A" w:rsidP="00AF34FD">
      <w:pPr>
        <w:suppressAutoHyphens/>
        <w:jc w:val="center"/>
        <w:rPr>
          <w:rFonts w:eastAsia="Calibri"/>
          <w:sz w:val="18"/>
          <w:szCs w:val="18"/>
          <w:lang w:val="en-MY" w:eastAsia="en-US"/>
        </w:rPr>
      </w:pPr>
    </w:p>
    <w:p w14:paraId="5E1253D8" w14:textId="61B63599" w:rsidR="00AF34FD" w:rsidRPr="00461731" w:rsidRDefault="00AF34FD" w:rsidP="00AF34FD">
      <w:pPr>
        <w:suppressAutoHyphens/>
        <w:jc w:val="center"/>
        <w:rPr>
          <w:rFonts w:eastAsia="Calibri"/>
          <w:sz w:val="18"/>
          <w:szCs w:val="18"/>
          <w:lang w:val="en-MY" w:eastAsia="en-US"/>
        </w:rPr>
      </w:pPr>
      <w:r w:rsidRPr="00461731">
        <w:rPr>
          <w:rFonts w:eastAsia="Calibri"/>
          <w:sz w:val="18"/>
          <w:szCs w:val="18"/>
          <w:lang w:val="en-MY" w:eastAsia="en-US"/>
        </w:rPr>
        <w:t>TABLE 1. Investigation on car-driver interaction</w:t>
      </w:r>
    </w:p>
    <w:p w14:paraId="002775CA" w14:textId="77777777" w:rsidR="00AF34FD" w:rsidRPr="00461731" w:rsidRDefault="00AF34FD" w:rsidP="00AF34FD">
      <w:pPr>
        <w:ind w:left="1440" w:right="54" w:hanging="1440"/>
        <w:rPr>
          <w:rFonts w:eastAsia="Calibri"/>
          <w:sz w:val="18"/>
          <w:szCs w:val="18"/>
          <w:lang w:eastAsia="en-US"/>
        </w:rPr>
      </w:pPr>
    </w:p>
    <w:tbl>
      <w:tblPr>
        <w:tblW w:w="0" w:type="auto"/>
        <w:jc w:val="center"/>
        <w:tblLook w:val="04A0" w:firstRow="1" w:lastRow="0" w:firstColumn="1" w:lastColumn="0" w:noHBand="0" w:noVBand="1"/>
      </w:tblPr>
      <w:tblGrid>
        <w:gridCol w:w="614"/>
        <w:gridCol w:w="2794"/>
        <w:gridCol w:w="656"/>
        <w:gridCol w:w="1070"/>
        <w:gridCol w:w="871"/>
        <w:gridCol w:w="790"/>
      </w:tblGrid>
      <w:tr w:rsidR="00AF34FD" w:rsidRPr="00461731" w14:paraId="57D5A71E" w14:textId="77777777" w:rsidTr="00D47561">
        <w:trPr>
          <w:trHeight w:val="361"/>
          <w:jc w:val="center"/>
        </w:trPr>
        <w:tc>
          <w:tcPr>
            <w:tcW w:w="614" w:type="dxa"/>
            <w:vMerge w:val="restart"/>
            <w:tcBorders>
              <w:top w:val="single" w:sz="4" w:space="0" w:color="auto"/>
              <w:bottom w:val="single" w:sz="4" w:space="0" w:color="auto"/>
            </w:tcBorders>
            <w:shd w:val="clear" w:color="auto" w:fill="auto"/>
            <w:vAlign w:val="center"/>
          </w:tcPr>
          <w:p w14:paraId="04DE8494"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No</w:t>
            </w:r>
          </w:p>
        </w:tc>
        <w:tc>
          <w:tcPr>
            <w:tcW w:w="2794" w:type="dxa"/>
            <w:vMerge w:val="restart"/>
            <w:tcBorders>
              <w:top w:val="single" w:sz="4" w:space="0" w:color="auto"/>
              <w:bottom w:val="single" w:sz="4" w:space="0" w:color="auto"/>
            </w:tcBorders>
            <w:shd w:val="clear" w:color="auto" w:fill="auto"/>
            <w:vAlign w:val="center"/>
          </w:tcPr>
          <w:p w14:paraId="6790CC1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Reference</w:t>
            </w:r>
          </w:p>
        </w:tc>
        <w:tc>
          <w:tcPr>
            <w:tcW w:w="3387" w:type="dxa"/>
            <w:gridSpan w:val="4"/>
            <w:tcBorders>
              <w:top w:val="single" w:sz="4" w:space="0" w:color="auto"/>
            </w:tcBorders>
            <w:shd w:val="clear" w:color="auto" w:fill="auto"/>
            <w:vAlign w:val="center"/>
          </w:tcPr>
          <w:p w14:paraId="38F2DB5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Main components</w:t>
            </w:r>
          </w:p>
        </w:tc>
      </w:tr>
      <w:tr w:rsidR="00AF34FD" w:rsidRPr="00461731" w14:paraId="07CF9BB4" w14:textId="77777777" w:rsidTr="00D47561">
        <w:trPr>
          <w:trHeight w:val="169"/>
          <w:jc w:val="center"/>
        </w:trPr>
        <w:tc>
          <w:tcPr>
            <w:tcW w:w="614" w:type="dxa"/>
            <w:vMerge/>
            <w:tcBorders>
              <w:top w:val="single" w:sz="4" w:space="0" w:color="auto"/>
              <w:bottom w:val="single" w:sz="4" w:space="0" w:color="auto"/>
            </w:tcBorders>
            <w:shd w:val="clear" w:color="auto" w:fill="auto"/>
            <w:vAlign w:val="center"/>
          </w:tcPr>
          <w:p w14:paraId="3A79162C" w14:textId="77777777" w:rsidR="00AF34FD" w:rsidRPr="00461731" w:rsidRDefault="00AF34FD" w:rsidP="00D47561">
            <w:pPr>
              <w:suppressAutoHyphens/>
              <w:rPr>
                <w:rFonts w:eastAsia="Calibri"/>
                <w:sz w:val="18"/>
                <w:szCs w:val="18"/>
                <w:lang w:val="en-MY" w:eastAsia="en-US"/>
              </w:rPr>
            </w:pPr>
          </w:p>
        </w:tc>
        <w:tc>
          <w:tcPr>
            <w:tcW w:w="2794" w:type="dxa"/>
            <w:vMerge/>
            <w:tcBorders>
              <w:top w:val="single" w:sz="4" w:space="0" w:color="auto"/>
              <w:bottom w:val="single" w:sz="4" w:space="0" w:color="auto"/>
            </w:tcBorders>
            <w:shd w:val="clear" w:color="auto" w:fill="auto"/>
            <w:vAlign w:val="center"/>
          </w:tcPr>
          <w:p w14:paraId="52545B84" w14:textId="77777777" w:rsidR="00AF34FD" w:rsidRPr="00461731" w:rsidRDefault="00AF34FD" w:rsidP="00D47561">
            <w:pPr>
              <w:suppressAutoHyphens/>
              <w:jc w:val="center"/>
              <w:rPr>
                <w:rFonts w:eastAsia="Calibri"/>
                <w:sz w:val="18"/>
                <w:szCs w:val="18"/>
                <w:lang w:val="en-MY" w:eastAsia="en-US"/>
              </w:rPr>
            </w:pPr>
          </w:p>
        </w:tc>
        <w:tc>
          <w:tcPr>
            <w:tcW w:w="656" w:type="dxa"/>
            <w:tcBorders>
              <w:bottom w:val="single" w:sz="4" w:space="0" w:color="auto"/>
            </w:tcBorders>
            <w:shd w:val="clear" w:color="auto" w:fill="auto"/>
            <w:vAlign w:val="center"/>
          </w:tcPr>
          <w:p w14:paraId="0947C660"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Seat</w:t>
            </w:r>
          </w:p>
        </w:tc>
        <w:tc>
          <w:tcPr>
            <w:tcW w:w="1070" w:type="dxa"/>
            <w:tcBorders>
              <w:bottom w:val="single" w:sz="4" w:space="0" w:color="auto"/>
            </w:tcBorders>
            <w:shd w:val="clear" w:color="auto" w:fill="auto"/>
            <w:vAlign w:val="center"/>
          </w:tcPr>
          <w:p w14:paraId="2192082D"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Steering</w:t>
            </w:r>
          </w:p>
        </w:tc>
        <w:tc>
          <w:tcPr>
            <w:tcW w:w="871" w:type="dxa"/>
            <w:tcBorders>
              <w:bottom w:val="single" w:sz="4" w:space="0" w:color="auto"/>
            </w:tcBorders>
            <w:shd w:val="clear" w:color="auto" w:fill="auto"/>
            <w:vAlign w:val="center"/>
          </w:tcPr>
          <w:p w14:paraId="7A505BC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Gear</w:t>
            </w:r>
          </w:p>
        </w:tc>
        <w:tc>
          <w:tcPr>
            <w:tcW w:w="790" w:type="dxa"/>
            <w:tcBorders>
              <w:bottom w:val="single" w:sz="4" w:space="0" w:color="auto"/>
            </w:tcBorders>
            <w:shd w:val="clear" w:color="auto" w:fill="auto"/>
            <w:vAlign w:val="center"/>
          </w:tcPr>
          <w:p w14:paraId="77DD81F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Pedal</w:t>
            </w:r>
          </w:p>
        </w:tc>
      </w:tr>
      <w:tr w:rsidR="00AF34FD" w:rsidRPr="00461731" w14:paraId="7167FD37" w14:textId="77777777" w:rsidTr="00D47561">
        <w:trPr>
          <w:trHeight w:val="341"/>
          <w:jc w:val="center"/>
        </w:trPr>
        <w:tc>
          <w:tcPr>
            <w:tcW w:w="614" w:type="dxa"/>
            <w:tcBorders>
              <w:top w:val="single" w:sz="4" w:space="0" w:color="auto"/>
            </w:tcBorders>
            <w:shd w:val="clear" w:color="auto" w:fill="auto"/>
            <w:vAlign w:val="center"/>
          </w:tcPr>
          <w:p w14:paraId="4294FA11"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w:t>
            </w:r>
          </w:p>
        </w:tc>
        <w:tc>
          <w:tcPr>
            <w:tcW w:w="2794" w:type="dxa"/>
            <w:shd w:val="clear" w:color="auto" w:fill="auto"/>
            <w:vAlign w:val="center"/>
          </w:tcPr>
          <w:p w14:paraId="684A486C"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"Adler", "given" : "Steffen", "non-dropping-particle" : "", "parse-names" : false, "suffix" : "" } ], "id" : "ITEM-1", "issue" : "September", "issued" : { "date-parts" : [ [ "2007" ] ] }, "number-of-pages" : "1-153", "publisher" : "Friedrich-Schiller-Universitat Jena", "title" : "The relation between long-term seating comfort and driver movement", "type" : "thesis" }, "uris" : [ "http://www.mendeley.com/documents/?uuid=1d01a465-d803-46a3-a565-946fa2ffcece" ] } ], "mendeley" : { "formattedCitation" : "(Adler, 2007)", "manualFormatting" : "Adler (2007", "plainTextFormattedCitation" : "(Adler, 2007)", "previouslyFormattedCitation" : "(Adler, 2007)"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Adler (2007</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04C946C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38AE1212"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08F81016"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2F8DE3C6" w14:textId="77777777" w:rsidR="00AF34FD" w:rsidRPr="00461731" w:rsidRDefault="00AF34FD" w:rsidP="00D47561">
            <w:pPr>
              <w:suppressAutoHyphens/>
              <w:jc w:val="center"/>
              <w:rPr>
                <w:rFonts w:eastAsia="Calibri"/>
                <w:sz w:val="18"/>
                <w:szCs w:val="18"/>
                <w:lang w:val="en-MY" w:eastAsia="en-US"/>
              </w:rPr>
            </w:pPr>
          </w:p>
        </w:tc>
      </w:tr>
      <w:tr w:rsidR="00AF34FD" w:rsidRPr="00461731" w14:paraId="5E9D2BFE" w14:textId="77777777" w:rsidTr="00D47561">
        <w:trPr>
          <w:trHeight w:val="427"/>
          <w:jc w:val="center"/>
        </w:trPr>
        <w:tc>
          <w:tcPr>
            <w:tcW w:w="614" w:type="dxa"/>
            <w:shd w:val="clear" w:color="auto" w:fill="auto"/>
            <w:vAlign w:val="center"/>
          </w:tcPr>
          <w:p w14:paraId="3D6A2276"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2</w:t>
            </w:r>
          </w:p>
        </w:tc>
        <w:tc>
          <w:tcPr>
            <w:tcW w:w="2794" w:type="dxa"/>
            <w:shd w:val="clear" w:color="auto" w:fill="auto"/>
            <w:vAlign w:val="center"/>
          </w:tcPr>
          <w:p w14:paraId="2BB8EFE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"10.1016/j.aap.2007.09.002", "ISSN" : "0001-4575", "PMID" : "18329416", "abstract" : "The aim of this study was to assess time of day and sleep deprivation impacts on motorcycling performance taking into consideration key variables, such as reaction time, motor coordination and vigilance that are principally involved in a riding task. Eight subjects participated in different tests sessions planned at 06:00 and 18:00h after a normal night's sleep and after a night of total sleep deprivation. During each session all subjects completed \"laboratory\" and \"motorcycling\" tests that were designed to assess each of the variables tested. As classically observed in sport performance, motorcycling performance demonstrates a time of day fluctuation by increasing from 06:00 to 18:00h during the day after a normal night's sleep. For each variable tested, the effects of sleep deprivation depend on the design of the test conditions. Thus, the data collected in laboratory specific conditions are more affected than those noted in arranged motorcycling situations. Taking into account that the sample size used in this study was limited, which may limit the results interpretations, these discrepancies suggest that during complex tasks, compensation mechanisms may be set up between different resources so as to maintain a good level of performance.", "author" : [ { "dropping-particle" : "", "family" : "Bougard", "given" : "Cl\u00e9ment", "non-dropping-particle" : "", "parse-names" : false, "suffix" : "" }, { "dropping-particle" : "", "family" : "Moussay", "given" : "S\u00e9bastien", "non-dropping-particle" : "", "parse-names" : false, "suffix" : "" }, { "dropping-particle" : "", "family" : "Davenne", "given" : "Damien", "non-dropping-particle" : "", "parse-names" : false, "suffix" : "" } ], "container-title" : "Accident Analysis and Prevention", "id" : "ITEM-1", "issue" : "2", "issued" : { "date-parts" : [ [ "2008", "3" ] ] }, "page" : "635-43", "title" : "An assessment of the relevance of laboratory and motorcycling tests for investigating time of day and sleep deprivation influences on motorcycling performance.", "type" : "article-journal", "volume" : "40" }, "uris" : [ "http://www.mendeley.com/documents/?uuid=55349a71-e722-410b-8f72-ef6c2e2ae218" ] } ], "mendeley" : { "formattedCitation" : "(Bougard, Moussay, &amp; Davenne, 2008)", "manualFormatting" : "Bougard, Moussay, &amp; Davenne (2008", "plainTextFormattedCitation" : "(Bougard, Moussay, &amp; Davenne, 2008)", "previouslyFormattedCitation" : "(Bougard, Moussay, &amp; Davenne, 2008)"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Bougard et al. (2008</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70D7F4A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27D1FABF"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3D8D34E6"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6D332847" w14:textId="77777777" w:rsidR="00AF34FD" w:rsidRPr="00461731" w:rsidRDefault="00AF34FD" w:rsidP="00D47561">
            <w:pPr>
              <w:suppressAutoHyphens/>
              <w:jc w:val="center"/>
              <w:rPr>
                <w:rFonts w:eastAsia="Calibri"/>
                <w:sz w:val="18"/>
                <w:szCs w:val="18"/>
                <w:lang w:val="en-MY" w:eastAsia="en-US"/>
              </w:rPr>
            </w:pPr>
          </w:p>
        </w:tc>
      </w:tr>
      <w:tr w:rsidR="00AF34FD" w:rsidRPr="00461731" w14:paraId="72498AAE" w14:textId="77777777" w:rsidTr="00D47561">
        <w:trPr>
          <w:trHeight w:val="277"/>
          <w:jc w:val="center"/>
        </w:trPr>
        <w:tc>
          <w:tcPr>
            <w:tcW w:w="614" w:type="dxa"/>
            <w:shd w:val="clear" w:color="auto" w:fill="auto"/>
            <w:vAlign w:val="center"/>
          </w:tcPr>
          <w:p w14:paraId="4EADA762"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3</w:t>
            </w:r>
          </w:p>
        </w:tc>
        <w:tc>
          <w:tcPr>
            <w:tcW w:w="2794" w:type="dxa"/>
            <w:shd w:val="clear" w:color="auto" w:fill="auto"/>
            <w:vAlign w:val="center"/>
          </w:tcPr>
          <w:p w14:paraId="76FB3AF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"Kyung", "given" : "G.", "non-dropping-particle" : "", "parse-names" : false, "suffix" : "" } ], "id" : "ITEM-1", "issued" : { "date-parts" : [ [ "2008" ] ] }, "number-of-pages" : "1-227", "title" : "An Integrated Human Factors Approach to Design and Evaluation of the Driver Workspace and Interface: Driver Perception, Behaviour, and objective Measures", "type" : "thesis" }, "uris" : [ "http://www.mendeley.com/documents/?uuid=cdb4fcdf-19cc-4e26-84b4-bfe04b6a80c5" ] } ], "mendeley" : { "formattedCitation" : "(G. Kyung, 2008)", "manualFormatting" : "Kyung (2008", "plainTextFormattedCitation" : "(G. Kyung, 2008)", "previouslyFormattedCitation" : "(G. Kyung, 2008)"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Kyung (2008</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1F11B97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0605232A"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0E22AB52"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631330F1" w14:textId="77777777" w:rsidR="00AF34FD" w:rsidRPr="00461731" w:rsidRDefault="00AF34FD" w:rsidP="00D47561">
            <w:pPr>
              <w:suppressAutoHyphens/>
              <w:jc w:val="center"/>
              <w:rPr>
                <w:rFonts w:eastAsia="Calibri"/>
                <w:sz w:val="18"/>
                <w:szCs w:val="18"/>
                <w:lang w:val="en-MY" w:eastAsia="en-US"/>
              </w:rPr>
            </w:pPr>
          </w:p>
        </w:tc>
      </w:tr>
      <w:tr w:rsidR="00AF34FD" w:rsidRPr="00461731" w14:paraId="1937951F" w14:textId="77777777" w:rsidTr="00D47561">
        <w:trPr>
          <w:trHeight w:val="422"/>
          <w:jc w:val="center"/>
        </w:trPr>
        <w:tc>
          <w:tcPr>
            <w:tcW w:w="614" w:type="dxa"/>
            <w:shd w:val="clear" w:color="auto" w:fill="auto"/>
            <w:vAlign w:val="center"/>
          </w:tcPr>
          <w:p w14:paraId="0A5A1C17"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4</w:t>
            </w:r>
          </w:p>
        </w:tc>
        <w:tc>
          <w:tcPr>
            <w:tcW w:w="2794" w:type="dxa"/>
            <w:shd w:val="clear" w:color="auto" w:fill="auto"/>
            <w:vAlign w:val="center"/>
          </w:tcPr>
          <w:p w14:paraId="3DF460F8"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De Waard et al. (2010)</w:t>
            </w:r>
          </w:p>
          <w:p w14:paraId="6338CFED" w14:textId="77777777" w:rsidR="00AF34FD" w:rsidRPr="00461731" w:rsidRDefault="00AF34FD" w:rsidP="00D47561">
            <w:pPr>
              <w:ind w:left="1440" w:right="54" w:hanging="1440"/>
              <w:rPr>
                <w:rFonts w:eastAsia="Calibri"/>
                <w:sz w:val="18"/>
                <w:szCs w:val="18"/>
                <w:lang w:val="en-MY" w:eastAsia="en-US"/>
              </w:rPr>
            </w:pPr>
          </w:p>
        </w:tc>
        <w:tc>
          <w:tcPr>
            <w:tcW w:w="656" w:type="dxa"/>
            <w:shd w:val="clear" w:color="auto" w:fill="auto"/>
            <w:vAlign w:val="center"/>
          </w:tcPr>
          <w:p w14:paraId="158D9C07"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74A785B7"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59C1C121"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791AEE5E" w14:textId="77777777" w:rsidR="00AF34FD" w:rsidRPr="00461731" w:rsidRDefault="00AF34FD" w:rsidP="00D47561">
            <w:pPr>
              <w:suppressAutoHyphens/>
              <w:jc w:val="center"/>
              <w:rPr>
                <w:rFonts w:eastAsia="Calibri"/>
                <w:sz w:val="18"/>
                <w:szCs w:val="18"/>
                <w:lang w:val="en-MY" w:eastAsia="en-US"/>
              </w:rPr>
            </w:pPr>
          </w:p>
        </w:tc>
      </w:tr>
      <w:tr w:rsidR="00AF34FD" w:rsidRPr="00461731" w14:paraId="74F87ECA" w14:textId="77777777" w:rsidTr="00D47561">
        <w:trPr>
          <w:trHeight w:val="233"/>
          <w:jc w:val="center"/>
        </w:trPr>
        <w:tc>
          <w:tcPr>
            <w:tcW w:w="614" w:type="dxa"/>
            <w:shd w:val="clear" w:color="auto" w:fill="auto"/>
            <w:vAlign w:val="center"/>
          </w:tcPr>
          <w:p w14:paraId="04607B3D"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5</w:t>
            </w:r>
          </w:p>
        </w:tc>
        <w:tc>
          <w:tcPr>
            <w:tcW w:w="2794" w:type="dxa"/>
            <w:shd w:val="clear" w:color="auto" w:fill="auto"/>
            <w:vAlign w:val="center"/>
          </w:tcPr>
          <w:p w14:paraId="046496C0"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"abstract" : "Seat?vibration?is?one?of?the?major?causes?of?discomfort?in?moving?vehicle.?Tyre,? engine,?drivetrain?and?aerodynamic?forces?excite?the?cabin?and?interior?through? various?pathways.?In?this?paper,?the?contributions?of?tyre?and?engine?vibration?to? seat?excitations?are?studied.?Virtual?Source?Analysis?(VSA)? is? implemented? to? decompose? the? source? signals? into? incoherent? phenomena.? Studying? these? phenomena? (virtual? sources)? shows? the? amount? and? frequency? bands? that? physical?sources?affect?the?seat?vibration?as?the?response?channel.?Experiment?is? conducted? while? riding? on? smooth? and? bumpy? roads.? Road? roughness? is? characterized? using? International? Roughness? Index? (IRI).? VSA? technique? approve? that? tyre? is? the?main? source?of? seat?vibration? for? the?moving?vehicle.? Seat?vibration?has?significant?values?below?400?Hz?and?tyre?is?found?to?be?the? dominant?source?of?excitations?for?both?smooth?and?bumpy?roads.?For?smooth? road,?strong?engine?harmonics?below?200?Hz?also?has?some?involvements.?But? in? bumpy? road,? tyre? vibration? rise? up? and? become? the? dominant? broadband? source? of? excitations.? Tyre? damper? and? engine? mount? Frequency? Response? Function? (FRF)? analysis? show? that? these? parts? are? designed? to? be? highly? efficient?below?1400?Hz?and?200?Hz,? respectively.?These? ranges?are? identical? with?those?that?were?found?as?the?critical?operational?frequency?spans?in?VSA.", "author" : [ { "dropping-particle" : "", "family" : "Fouladi", "given" : "Mohammad Hosseini", "non-dropping-particle" : "", "parse-names" : false, "suffix" : "" }, { "dropping-particle" : "", "family" : "Inayatullah", "given" : "Othman", "non-dropping-particle" : "", "parse-names" : false, "suffix" : "" }, { "dropping-particle" : "", "family" : "Ariffin", "given" : "Ahmad Kamal", "non-dropping-particle" : "", "parse-names" : false, "suffix" : "" } ], "container-title" : "Journal of Engineering Science and Technology", "id" : "ITEM-1", "issue" : "3", "issued" : { "date-parts" : [ [ "2011" ] ] }, "page" : "339-356", "title" : "Evaluation of Seat Vibration Sources in Driving Condition using Spectral Analysis", "type" : "article-journal", "volume" : "6" }, "uris" : [ "http://www.mendeley.com/documents/?uuid=60c838b7-c331-478a-8352-f862af92acbb" ] } ], "mendeley" : { "formattedCitation" : "(Fouladi, Inayatullah, &amp; Ariffin, 2011)", "manualFormatting" : "Fouladi, Inayatullah, &amp; Ariffin (2011", "plainTextFormattedCitation" : "(Fouladi, Inayatullah, &amp; Ariffin, 2011)", "previouslyFormattedCitation" : "(Fouladi, Inayatullah, &amp; Ariffin, 2011)"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Fouladi et al. (2011</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21F7F11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3FE88859"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56C39061"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2786AF1C" w14:textId="77777777" w:rsidR="00AF34FD" w:rsidRPr="00461731" w:rsidRDefault="00AF34FD" w:rsidP="00D47561">
            <w:pPr>
              <w:suppressAutoHyphens/>
              <w:jc w:val="center"/>
              <w:rPr>
                <w:rFonts w:eastAsia="Calibri"/>
                <w:sz w:val="18"/>
                <w:szCs w:val="18"/>
                <w:lang w:val="en-MY" w:eastAsia="en-US"/>
              </w:rPr>
            </w:pPr>
          </w:p>
        </w:tc>
      </w:tr>
      <w:tr w:rsidR="00AF34FD" w:rsidRPr="00461731" w14:paraId="1A338817" w14:textId="77777777" w:rsidTr="00D47561">
        <w:trPr>
          <w:trHeight w:val="381"/>
          <w:jc w:val="center"/>
        </w:trPr>
        <w:tc>
          <w:tcPr>
            <w:tcW w:w="614" w:type="dxa"/>
            <w:shd w:val="clear" w:color="auto" w:fill="auto"/>
            <w:vAlign w:val="center"/>
          </w:tcPr>
          <w:p w14:paraId="7C24FF5E"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6</w:t>
            </w:r>
          </w:p>
        </w:tc>
        <w:tc>
          <w:tcPr>
            <w:tcW w:w="2794" w:type="dxa"/>
            <w:shd w:val="clear" w:color="auto" w:fill="auto"/>
            <w:vAlign w:val="center"/>
          </w:tcPr>
          <w:p w14:paraId="3265C03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"10.1145/1978942.1979010", "ISBN" : "9781450302289", "abstract" : "Cars offer an increasing number of infotainment systems as well as comfort functions that can be controlled by the driv- er. In our research, we investigate new interaction tech- niques that aim to make it easier to interact with these sys- tems while driving. We suggest utilizing the steering wheel as an additional interaction surface. In this paper, we pre- sent two user studies conducted with a working prototype of a multi-touch steering wheel. In the first, we developed a user-defined steering wheel gesture set, and in the second, we applied the identified gestures and compared their appli- cation to conventional user interaction with infotainment systems in terms of driver distraction. The main outcome was that driver\u2019s visual demand is reduced significantly by using gestural interaction on the multi-touch steering wheel.", "author" : [ { "dropping-particle" : "", "family" : "D\u00f6ring", "given" : "Tanja", "non-dropping-particle" : "", "parse-names" : false, "suffix" : "" }, { "dropping-particle" : "", "family" : "Kern", "given" : "Dagmar", "non-dropping-particle" : "", "parse-names" : false, "suffix" : "" }, { "dropping-particle" : "", "family" : "Marshall", "given" : "Paul", "non-dropping-particle" : "", "parse-names" : false, "suffix" : "" }, { "dropping-particle" : "", "family" : "Pfeiffer", "given" : "Max", "non-dropping-particle" : "", "parse-names" : false, "suffix" : "" }, { "dropping-particle" : "", "family" : "Sch\u00f6ning", "given" : "Johannes", "non-dropping-particle" : "", "parse-names" : false, "suffix" : "" }, { "dropping-particle" : "", "family" : "Gruhn", "given" : "Volker", "non-dropping-particle" : "", "parse-names" : false, "suffix" : "" }, { "dropping-particle" : "", "family" : "Schmidt", "given" : "Albrecht", "non-dropping-particle" : "", "parse-names" : false, "suffix" : "" } ], "container-title" : "Proceedings of the 2011 Annual Conference on Human Factors in Computing Systems", "id" : "ITEM-1", "issued" : { "date-parts" : [ [ "2011" ] ] }, "page" : "483", "title" : "Gestural interaction on the steering wheel", "type" : "paper-conference" }, "uris" : [ "http://www.mendeley.com/documents/?uuid=3285337c-3338-4292-8a26-b884adcc0acb" ] } ], "mendeley" : { "formattedCitation" : "(D\u00f6ring et al., 2011)", "manualFormatting" : "D\u00f6ring et al. (2011)", "plainTextFormattedCitation" : "(D\u00f6ring et al., 2011)", "previouslyFormattedCitation" : "(D\u00f6ring et al., 2011)"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Döring et al. (2011)</w:t>
            </w:r>
            <w:r w:rsidRPr="00461731">
              <w:rPr>
                <w:rFonts w:eastAsia="Calibri"/>
                <w:sz w:val="18"/>
                <w:szCs w:val="18"/>
                <w:lang w:val="en-MY" w:eastAsia="en-US"/>
              </w:rPr>
              <w:fldChar w:fldCharType="end"/>
            </w:r>
          </w:p>
        </w:tc>
        <w:tc>
          <w:tcPr>
            <w:tcW w:w="656" w:type="dxa"/>
            <w:shd w:val="clear" w:color="auto" w:fill="auto"/>
            <w:vAlign w:val="center"/>
          </w:tcPr>
          <w:p w14:paraId="048CF78C"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2F01745A"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65D966E7"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604D8D53" w14:textId="77777777" w:rsidR="00AF34FD" w:rsidRPr="00461731" w:rsidRDefault="00AF34FD" w:rsidP="00D47561">
            <w:pPr>
              <w:suppressAutoHyphens/>
              <w:jc w:val="center"/>
              <w:rPr>
                <w:rFonts w:eastAsia="Calibri"/>
                <w:sz w:val="18"/>
                <w:szCs w:val="18"/>
                <w:lang w:val="en-MY" w:eastAsia="en-US"/>
              </w:rPr>
            </w:pPr>
          </w:p>
        </w:tc>
      </w:tr>
      <w:tr w:rsidR="00AF34FD" w:rsidRPr="00461731" w14:paraId="02C03D04" w14:textId="77777777" w:rsidTr="00D47561">
        <w:trPr>
          <w:trHeight w:val="145"/>
          <w:jc w:val="center"/>
        </w:trPr>
        <w:tc>
          <w:tcPr>
            <w:tcW w:w="614" w:type="dxa"/>
            <w:shd w:val="clear" w:color="auto" w:fill="auto"/>
            <w:vAlign w:val="center"/>
          </w:tcPr>
          <w:p w14:paraId="45F89327"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7</w:t>
            </w:r>
          </w:p>
        </w:tc>
        <w:tc>
          <w:tcPr>
            <w:tcW w:w="2794" w:type="dxa"/>
            <w:shd w:val="clear" w:color="auto" w:fill="auto"/>
            <w:vAlign w:val="center"/>
          </w:tcPr>
          <w:p w14:paraId="6C320CD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Vilimek et al. (2011)</w:t>
            </w:r>
          </w:p>
        </w:tc>
        <w:tc>
          <w:tcPr>
            <w:tcW w:w="656" w:type="dxa"/>
            <w:shd w:val="clear" w:color="auto" w:fill="auto"/>
            <w:vAlign w:val="center"/>
          </w:tcPr>
          <w:p w14:paraId="57248859"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2F8FA728"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350C87CB"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790" w:type="dxa"/>
            <w:shd w:val="clear" w:color="auto" w:fill="auto"/>
            <w:vAlign w:val="center"/>
          </w:tcPr>
          <w:p w14:paraId="3CC23D8E" w14:textId="77777777" w:rsidR="00AF34FD" w:rsidRPr="00461731" w:rsidRDefault="00AF34FD" w:rsidP="00D47561">
            <w:pPr>
              <w:suppressAutoHyphens/>
              <w:jc w:val="center"/>
              <w:rPr>
                <w:rFonts w:eastAsia="Calibri"/>
                <w:sz w:val="18"/>
                <w:szCs w:val="18"/>
                <w:lang w:val="en-MY" w:eastAsia="en-US"/>
              </w:rPr>
            </w:pPr>
          </w:p>
        </w:tc>
      </w:tr>
      <w:tr w:rsidR="00AF34FD" w:rsidRPr="00461731" w14:paraId="4B8B44D4" w14:textId="77777777" w:rsidTr="00D47561">
        <w:trPr>
          <w:trHeight w:val="374"/>
          <w:jc w:val="center"/>
        </w:trPr>
        <w:tc>
          <w:tcPr>
            <w:tcW w:w="614" w:type="dxa"/>
            <w:shd w:val="clear" w:color="auto" w:fill="auto"/>
            <w:vAlign w:val="center"/>
          </w:tcPr>
          <w:p w14:paraId="23F1806C"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8</w:t>
            </w:r>
          </w:p>
        </w:tc>
        <w:tc>
          <w:tcPr>
            <w:tcW w:w="2794" w:type="dxa"/>
            <w:shd w:val="clear" w:color="auto" w:fill="auto"/>
            <w:vAlign w:val="center"/>
          </w:tcPr>
          <w:p w14:paraId="02D86B0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"10.1016/j.aap.2011.11.020", "ISSN" : "1879-2057", "PMID" : "22269489", "abstract" : "Our study focused on the lateral position of drivers in relation to risk on rural crest vertical curves, using a field site proposed by a local operator of the French road network (Conseil G\u00e9n\u00e9ral de Maine-et-Loire, 49). The final goal was to test one road treatment on this field site. The study consisted of three stages. The first, using driving simulators, selected two perceptual treatments (i.e., rumble strips on both sides of the centerline and sealed shoulders) from five that were tested in order to help drivers maintain lateral control when driving on crest vertical curves. The rumble strips were installed first on the field site. The second stage was to develop a diagnostic device specifically in order to evaluate, on the field site, the impact of a perceptual treatment on the driver's performance (i.e., lateral position). This diagnostic device was installed in the field upstream and downstream of the target crest vertical curve. The third stage was to collect the data during two periods, before and after the centerline rumble strips were installed. We then compared the results obtained in the field study with those from the driving simulator studies. The comparison showed that, as in the simulator studies, the centerline rumble strips on the crest vertical curve affected lateral positions, causing the participants to drive closer to the center of the lane. Finally, the results showed the usefulness of driving simulators in the road design process.", "author" : [ { "dropping-particle" : "", "family" : "Auberlet", "given" : "Jean-Michel", "non-dropping-particle" : "", "parse-names" : false, "suffix" : "" }, { "dropping-particle" : "", "family" : "Rosey", "given" : "Florence", "non-dropping-particle" : "", "parse-names" : false, "suffix" : "" }, { "dropping-particle" : "", "family" : "Anceaux", "given" : "Fran\u00e7oise", "non-dropping-particle" : "", "parse-names" : false, "suffix" : "" }, { "dropping-particle" : "", "family" : "Aubin", "given" : "S\u00e9bastien", "non-dropping-particle" : "", "parse-names" : false, "suffix" : "" }, { "dropping-particle" : "", "family" : "Briand", "given" : "Patrice", "non-dropping-particle" : "", "parse-names" : false, "suffix" : "" }, { "dropping-particle" : "", "family" : "Pacaux", "given" : "Marie-Pierre", "non-dropping-particle" : "", "parse-names" : false, "suffix" : "" }, { "dropping-particle" : "", "family" : "Plainchault", "given" : "Patrick", "non-dropping-particle" : "", "parse-names" : false, "suffix" : "" } ], "container-title" : "Accident Analysis and Prevention", "id" : "ITEM-1", "issued" : { "date-parts" : [ [ "2012", "3" ] ] }, "page" : "91-8", "title" : "The impact of perceptual treatments on driver's behavior: from driving simulator studies to field tests--first results.", "type" : "article-journal", "volume" : "45" }, "uris" : [ "http://www.mendeley.com/documents/?uuid=121e7f8a-3c6d-42a1-9105-cc0f81715490" ] } ], "mendeley" : { "formattedCitation" : "(Auberlet et al., 2012)", "manualFormatting" : "Auberlet et al. (2012", "plainTextFormattedCitation" : "(Auberlet et al., 2012)", "previouslyFormattedCitation" : "(Auberlet et al.,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Auberlet et al.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438EDA70"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5A5ECDE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020F331A"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1C2827CB"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14:paraId="468AF83D" w14:textId="77777777" w:rsidTr="00D47561">
        <w:trPr>
          <w:trHeight w:val="281"/>
          <w:jc w:val="center"/>
        </w:trPr>
        <w:tc>
          <w:tcPr>
            <w:tcW w:w="614" w:type="dxa"/>
            <w:shd w:val="clear" w:color="auto" w:fill="auto"/>
            <w:vAlign w:val="center"/>
          </w:tcPr>
          <w:p w14:paraId="38DC5EB2"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9</w:t>
            </w:r>
          </w:p>
        </w:tc>
        <w:tc>
          <w:tcPr>
            <w:tcW w:w="2794" w:type="dxa"/>
            <w:shd w:val="clear" w:color="auto" w:fill="auto"/>
            <w:vAlign w:val="center"/>
          </w:tcPr>
          <w:p w14:paraId="792998CB"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"10.1016/j.apergo.2011.06.008", "ISSN" : "0003-6870", "PMID" : "21737062", "abstract" : "Producing higher efficiency cars with less and lighter materials but without compromising safety, comfort and driving pleasure might give a competitive advantage. In this light, at BMW a new light weight car-seat concept was developed based on the human body contour. A possibility to increase the comfort is using a seat which elicits positive tactile experiences. However, limited information is available on seat characteristics and tactile experiences. Therefore, this study describes the contour of three different car-seat designs, including a light weight seat, and the recorded corresponding emotion and tactile experience of 21 persons sitting in the seats. Results show that the new light weight car-seat concept rated well on experienced relaxedness, even with the lack of a side support. The most important findings are that hard seats with rather high side supports are rated sporty and seats that are softer are rated more luxurious.", "author" : [ { "dropping-particle" : "", "family" : "Kamp", "given" : "Irene", "non-dropping-particle" : "", "parse-names" : false, "suffix" : "" } ], "container-title" : "Applied Ergonomics", "id" : "ITEM-1", "issue" : "2", "issued" : { "date-parts" : [ [ "2012", "3" ] ] }, "note" : "From Duplicate 1 ( \n\nThe influence of car-seat design on its character experience.\n\n- Kamp, Irene )\n\n", "page" : "329-335", "publisher" : "Elsevier Ltd", "title" : "The influence of car-seat design on its character experience", "type" : "article-journal", "volume" : "43" }, "uris" : [ "http://www.mendeley.com/documents/?uuid=2e6a9503-51d2-4ba5-9ef8-b80bedd042cf" ] } ], "mendeley" : { "formattedCitation" : "(Kamp, 2012)", "manualFormatting" : "Kamp (2012", "plainTextFormattedCitation" : "(Kamp, 2012)", "previouslyFormattedCitation" : "(Kamp,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Kamp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4BD7A48C"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2AD071FE"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19B1DCAA"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576B32DC" w14:textId="77777777" w:rsidR="00AF34FD" w:rsidRPr="00461731" w:rsidRDefault="00AF34FD" w:rsidP="00D47561">
            <w:pPr>
              <w:suppressAutoHyphens/>
              <w:jc w:val="center"/>
              <w:rPr>
                <w:rFonts w:eastAsia="Calibri"/>
                <w:sz w:val="18"/>
                <w:szCs w:val="18"/>
                <w:lang w:val="en-MY" w:eastAsia="en-US"/>
              </w:rPr>
            </w:pPr>
          </w:p>
        </w:tc>
      </w:tr>
      <w:tr w:rsidR="00AF34FD" w:rsidRPr="00461731" w14:paraId="5BA74204" w14:textId="77777777" w:rsidTr="00D47561">
        <w:trPr>
          <w:trHeight w:val="285"/>
          <w:jc w:val="center"/>
        </w:trPr>
        <w:tc>
          <w:tcPr>
            <w:tcW w:w="614" w:type="dxa"/>
            <w:shd w:val="clear" w:color="auto" w:fill="auto"/>
            <w:vAlign w:val="center"/>
          </w:tcPr>
          <w:p w14:paraId="5C621F97"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10</w:t>
            </w:r>
          </w:p>
        </w:tc>
        <w:tc>
          <w:tcPr>
            <w:tcW w:w="2794" w:type="dxa"/>
            <w:shd w:val="clear" w:color="auto" w:fill="auto"/>
            <w:vAlign w:val="center"/>
          </w:tcPr>
          <w:p w14:paraId="3B62BF1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"Yusoff, A. R. , Deros, B. M, and Daruis", "given" : "D. D. I.", "non-dropping-particle" : "", "parse-names" : false, "suffix" : "" } ], "container-title" : "Proceedings of 4th International Conference on Noise, Vibration and Comfort (NVC 2012), 27-28 November 2012, Kuala Lumpur, Malaysia", "id" : "ITEM-1", "issued" : { "date-parts" : [ [ "2012" ] ] }, "page" : "210-215", "title" : "Vibration Transmissibility on Foot during Controlling and Operating Car Accelerator Pedal", "type" : "article-journal" }, "uris" : [ "http://www.mendeley.com/documents/?uuid=8716d033-2214-44db-baa9-1392b0808dc6" ] } ], "mendeley" : { "formattedCitation" : "(Yusoff, A. R. , Deros, B. M, and Daruis, 2012)", "manualFormatting" : "Yusoff et al. (2012", "plainTextFormattedCitation" : "(Yusoff, A. R. , Deros, B. M, and Daruis, 2012)", "previouslyFormattedCitation" : "(Yusoff, A. R. , Deros, B. M, and Daruis,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Yusoff et al.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564AC4E1"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0D6FC38F"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13ADF3EF"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1373C708"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14:paraId="717C6D5F" w14:textId="77777777" w:rsidTr="00D47561">
        <w:trPr>
          <w:trHeight w:val="460"/>
          <w:jc w:val="center"/>
        </w:trPr>
        <w:tc>
          <w:tcPr>
            <w:tcW w:w="614" w:type="dxa"/>
            <w:shd w:val="clear" w:color="auto" w:fill="auto"/>
            <w:vAlign w:val="center"/>
          </w:tcPr>
          <w:p w14:paraId="3A9C7190"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11</w:t>
            </w:r>
          </w:p>
        </w:tc>
        <w:tc>
          <w:tcPr>
            <w:tcW w:w="2794" w:type="dxa"/>
            <w:shd w:val="clear" w:color="auto" w:fill="auto"/>
            <w:vAlign w:val="center"/>
          </w:tcPr>
          <w:p w14:paraId="1EBD808C"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"10.1016/j.apacoust.2013.04.012", "ISSN" : "0003682X", "abstract" : "The growing use of vehicles in urban areas means that comfort in low-speed driving phase is an increasingly important consideration for manufacturers. Examining comfort in such situation requires not only field experiments but also the use of simulators to control the characteristics of the stimuli to which participants are exposed. Incorporating a visual scene with vibration and sound stimuli is one possible way of improving simulation conditions. Two experiments were conducted to measure the influence of the immersion relating to vibratory, sound and visual modes on comfort assessments. In the first experiment, participants were exposed to different combinations of vibration, noise and road videos (8 vehicles, 2 roads). The visual mode only led to a small bearing on ratings. Regardless of the mode presented, the level of vibration emerged as the crucial factor in assessing overall comfort. Little interactions between sound and vibration modes were also highlighted. The second experiment dealt with context given by the visual mode. Acoustic and vibration stimuli were combined with very different road videos, which modified participants\u2019 expectations with regard to the situation. Results demonstrated that combining different visual settings with vibro-acoustic stimuli, no matter how much they were opposed, only exerted a small influence on participants\u2019 comfort. In the end, with regard both to immersion and contextualisation, the effects of the visual mode are so low-scale as to be insignificant. Accordingly, they may be ignored in future similar experiments, which can make the experimental set-up easier.", "author" : [ { "dropping-particle" : "", "family" : "Ma\u00ebl", "given" : "Amari", "non-dropping-particle" : "", "parse-names" : false, "suffix" : "" }, { "dropping-particle" : "", "family" : "Etienne", "given" : "Parizet", "non-dropping-particle" : "", "parse-names" : false, "suffix" : "" }, { "dropping-particle" : "", "family" : "Vincent", "given" : "Roussarie", "non-dropping-particle" : "", "parse-names" : false, "suffix" : "" } ], "container-title" : "Applied Acoustics", "id" : "ITEM-1", "issue" : "12", "issued" : { "date-parts" : [ [ "2013", "12" ] ] }, "page" : "1378-1387", "title" : "Multimodal approach to automobile driving comfort: The in\ufb02uence of visual setting on assessments of vibro-accoustic comfort in simulators", "type" : "article-journal", "volume" : "74" }, "uris" : [ "http://www.mendeley.com/documents/?uuid=356f20dc-1173-4f9f-9016-d477e5515a10" ] } ], "mendeley" : { "formattedCitation" : "(Ma\u00ebl, Etienne, &amp; Vincent, 2013)", "manualFormatting" : "Ma\u00ebl, Etienne, &amp; Vincent (2013", "plainTextFormattedCitation" : "(Ma\u00ebl, Etienne, &amp; Vincent, 2013)", "previouslyFormattedCitation" : "(Ma\u00ebl, Etienne, &amp; Vincent, 2013)"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Maël et al. (2013</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66F94F87"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056CD1A0"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3AB2A9F6"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732F1D1A" w14:textId="77777777" w:rsidR="00AF34FD" w:rsidRPr="00461731" w:rsidRDefault="00AF34FD" w:rsidP="00D47561">
            <w:pPr>
              <w:suppressAutoHyphens/>
              <w:jc w:val="center"/>
              <w:rPr>
                <w:rFonts w:eastAsia="Calibri"/>
                <w:sz w:val="18"/>
                <w:szCs w:val="18"/>
                <w:lang w:val="en-MY" w:eastAsia="en-US"/>
              </w:rPr>
            </w:pPr>
          </w:p>
        </w:tc>
      </w:tr>
      <w:tr w:rsidR="00AF34FD" w:rsidRPr="00461731" w14:paraId="3ACFC29F" w14:textId="77777777" w:rsidTr="00D47561">
        <w:trPr>
          <w:trHeight w:val="381"/>
          <w:jc w:val="center"/>
        </w:trPr>
        <w:tc>
          <w:tcPr>
            <w:tcW w:w="614" w:type="dxa"/>
            <w:shd w:val="clear" w:color="auto" w:fill="auto"/>
            <w:vAlign w:val="center"/>
          </w:tcPr>
          <w:p w14:paraId="4D7CCA53"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12</w:t>
            </w:r>
          </w:p>
        </w:tc>
        <w:tc>
          <w:tcPr>
            <w:tcW w:w="2794" w:type="dxa"/>
            <w:shd w:val="clear" w:color="auto" w:fill="auto"/>
            <w:vAlign w:val="center"/>
          </w:tcPr>
          <w:p w14:paraId="476AB2E2"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"10.1016/j.ssci.2013.08.012", "ISSN" : "09257535", "author" : [ { "dropping-particle" : "", "family" : "Rudin-Brown", "given" : "Christina M.", "non-dropping-particle" : "", "parse-names" : false, "suffix" : "" }, { "dropping-particle" : "", "family" : "Edquist", "given" : "Jessica", "non-dropping-particle" : "", "parse-names" : false, "suffix" : "" }, { "dropping-particle" : "", "family" : "Lenn\u00e9", "given" : "Michael G.", "non-dropping-particle" : "", "parse-names" : false, "suffix" : "" } ], "container-title" : "Safety Science", "id" : "ITEM-1", "issued" : { "date-parts" : [ [ "2014", "2" ] ] }, "page" : "121-129", "publisher" : "Elsevier Ltd", "title" : "Effects of driving experience and sensation-seeking on drivers\u2019 adaptation to road environment complexity", "type" : "article-journal", "volume" : "62" }, "uris" : [ "http://www.mendeley.com/documents/?uuid=2d529700-1a1e-4cb8-9516-24ddbf6cdf05" ] } ], "mendeley" : { "formattedCitation" : "(Rudin-Brown, Edquist, &amp; Lenn\u00e9, 2014)", "manualFormatting" : "Rudin-Brown, Edquist, &amp; Lenn\u00e9 (2014", "plainTextFormattedCitation" : "(Rudin-Brown, Edquist, &amp; Lenn\u00e9, 2014)", "previouslyFormattedCitation" : "(Rudin-Brown, Edquist, &amp; Lenn\u00e9, 2014)"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Rudin-Brown et al. (2014</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635D750C"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13602B3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6B67DA37"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790" w:type="dxa"/>
            <w:shd w:val="clear" w:color="auto" w:fill="auto"/>
            <w:vAlign w:val="center"/>
          </w:tcPr>
          <w:p w14:paraId="0A2B5104"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14:paraId="5F753B15" w14:textId="77777777" w:rsidTr="00D47561">
        <w:trPr>
          <w:trHeight w:val="259"/>
          <w:jc w:val="center"/>
        </w:trPr>
        <w:tc>
          <w:tcPr>
            <w:tcW w:w="614" w:type="dxa"/>
            <w:shd w:val="clear" w:color="auto" w:fill="auto"/>
            <w:vAlign w:val="center"/>
          </w:tcPr>
          <w:p w14:paraId="4F6A2221"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13</w:t>
            </w:r>
          </w:p>
        </w:tc>
        <w:tc>
          <w:tcPr>
            <w:tcW w:w="2794" w:type="dxa"/>
            <w:shd w:val="clear" w:color="auto" w:fill="auto"/>
            <w:vAlign w:val="center"/>
          </w:tcPr>
          <w:p w14:paraId="35AC3A0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Mossey et al. (2014)</w:t>
            </w:r>
          </w:p>
        </w:tc>
        <w:tc>
          <w:tcPr>
            <w:tcW w:w="656" w:type="dxa"/>
            <w:shd w:val="clear" w:color="auto" w:fill="auto"/>
            <w:vAlign w:val="center"/>
          </w:tcPr>
          <w:p w14:paraId="2B3C24C5"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3D5B72C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78502F7C"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373AA268" w14:textId="77777777" w:rsidR="00AF34FD" w:rsidRPr="00461731" w:rsidRDefault="00AF34FD" w:rsidP="00D47561">
            <w:pPr>
              <w:suppressAutoHyphens/>
              <w:jc w:val="center"/>
              <w:rPr>
                <w:rFonts w:eastAsia="Calibri"/>
                <w:sz w:val="18"/>
                <w:szCs w:val="18"/>
                <w:lang w:val="en-MY" w:eastAsia="en-US"/>
              </w:rPr>
            </w:pPr>
          </w:p>
        </w:tc>
      </w:tr>
      <w:tr w:rsidR="00AF34FD" w:rsidRPr="00461731" w14:paraId="332CA742" w14:textId="77777777" w:rsidTr="00D47561">
        <w:trPr>
          <w:trHeight w:val="460"/>
          <w:jc w:val="center"/>
        </w:trPr>
        <w:tc>
          <w:tcPr>
            <w:tcW w:w="614" w:type="dxa"/>
            <w:tcBorders>
              <w:bottom w:val="single" w:sz="4" w:space="0" w:color="auto"/>
            </w:tcBorders>
            <w:shd w:val="clear" w:color="auto" w:fill="auto"/>
            <w:vAlign w:val="center"/>
          </w:tcPr>
          <w:p w14:paraId="2F688386"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14</w:t>
            </w:r>
          </w:p>
        </w:tc>
        <w:tc>
          <w:tcPr>
            <w:tcW w:w="2794" w:type="dxa"/>
            <w:tcBorders>
              <w:bottom w:val="single" w:sz="4" w:space="0" w:color="auto"/>
            </w:tcBorders>
            <w:shd w:val="clear" w:color="auto" w:fill="auto"/>
            <w:vAlign w:val="center"/>
          </w:tcPr>
          <w:p w14:paraId="578A7EED"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Mansfield et al. (2017)</w:t>
            </w:r>
          </w:p>
        </w:tc>
        <w:tc>
          <w:tcPr>
            <w:tcW w:w="656" w:type="dxa"/>
            <w:tcBorders>
              <w:bottom w:val="single" w:sz="4" w:space="0" w:color="auto"/>
            </w:tcBorders>
            <w:shd w:val="clear" w:color="auto" w:fill="auto"/>
            <w:vAlign w:val="center"/>
          </w:tcPr>
          <w:p w14:paraId="77341C5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tcBorders>
              <w:bottom w:val="single" w:sz="4" w:space="0" w:color="auto"/>
            </w:tcBorders>
            <w:shd w:val="clear" w:color="auto" w:fill="auto"/>
            <w:vAlign w:val="center"/>
          </w:tcPr>
          <w:p w14:paraId="25312CEC" w14:textId="77777777" w:rsidR="00AF34FD" w:rsidRPr="00461731" w:rsidRDefault="00AF34FD" w:rsidP="00D47561">
            <w:pPr>
              <w:suppressAutoHyphens/>
              <w:jc w:val="center"/>
              <w:rPr>
                <w:rFonts w:eastAsia="Calibri"/>
                <w:sz w:val="18"/>
                <w:szCs w:val="18"/>
                <w:lang w:val="en-MY" w:eastAsia="en-US"/>
              </w:rPr>
            </w:pPr>
          </w:p>
        </w:tc>
        <w:tc>
          <w:tcPr>
            <w:tcW w:w="871" w:type="dxa"/>
            <w:tcBorders>
              <w:bottom w:val="single" w:sz="4" w:space="0" w:color="auto"/>
            </w:tcBorders>
            <w:shd w:val="clear" w:color="auto" w:fill="auto"/>
            <w:vAlign w:val="center"/>
          </w:tcPr>
          <w:p w14:paraId="6A952D6D" w14:textId="77777777" w:rsidR="00AF34FD" w:rsidRPr="00461731" w:rsidRDefault="00AF34FD" w:rsidP="00D47561">
            <w:pPr>
              <w:suppressAutoHyphens/>
              <w:jc w:val="center"/>
              <w:rPr>
                <w:rFonts w:eastAsia="Calibri"/>
                <w:sz w:val="18"/>
                <w:szCs w:val="18"/>
                <w:lang w:val="en-MY" w:eastAsia="en-US"/>
              </w:rPr>
            </w:pPr>
          </w:p>
        </w:tc>
        <w:tc>
          <w:tcPr>
            <w:tcW w:w="790" w:type="dxa"/>
            <w:tcBorders>
              <w:bottom w:val="single" w:sz="4" w:space="0" w:color="auto"/>
            </w:tcBorders>
            <w:shd w:val="clear" w:color="auto" w:fill="auto"/>
            <w:vAlign w:val="center"/>
          </w:tcPr>
          <w:p w14:paraId="77FCAAAD" w14:textId="77777777" w:rsidR="00AF34FD" w:rsidRPr="00461731" w:rsidRDefault="00AF34FD" w:rsidP="00D47561">
            <w:pPr>
              <w:suppressAutoHyphens/>
              <w:jc w:val="center"/>
              <w:rPr>
                <w:rFonts w:eastAsia="Calibri"/>
                <w:sz w:val="18"/>
                <w:szCs w:val="18"/>
                <w:lang w:val="en-MY" w:eastAsia="en-US"/>
              </w:rPr>
            </w:pPr>
          </w:p>
        </w:tc>
      </w:tr>
    </w:tbl>
    <w:p w14:paraId="531964EB" w14:textId="77777777" w:rsidR="00AF34FD" w:rsidRPr="00461731" w:rsidRDefault="00AF34FD" w:rsidP="00AF34FD">
      <w:pPr>
        <w:ind w:left="1440" w:right="54" w:hanging="720"/>
        <w:rPr>
          <w:rFonts w:eastAsia="Calibri"/>
          <w:sz w:val="20"/>
          <w:szCs w:val="20"/>
          <w:lang w:eastAsia="en-US"/>
        </w:rPr>
      </w:pPr>
    </w:p>
    <w:p w14:paraId="10417253" w14:textId="77777777" w:rsidR="0032639E" w:rsidRDefault="0032639E" w:rsidP="00AF34FD">
      <w:pPr>
        <w:ind w:firstLine="567"/>
        <w:jc w:val="both"/>
        <w:rPr>
          <w:bCs/>
          <w:iCs/>
          <w:sz w:val="20"/>
          <w:szCs w:val="20"/>
        </w:rPr>
        <w:sectPr w:rsidR="0032639E" w:rsidSect="004E3A3D">
          <w:type w:val="continuous"/>
          <w:pgSz w:w="11906" w:h="16838"/>
          <w:pgMar w:top="1440" w:right="1440" w:bottom="1440" w:left="1440" w:header="708" w:footer="708" w:gutter="0"/>
          <w:cols w:space="708"/>
          <w:docGrid w:linePitch="360"/>
        </w:sectPr>
      </w:pPr>
    </w:p>
    <w:p w14:paraId="39CBA3A8" w14:textId="77777777" w:rsidR="00AF34FD" w:rsidRPr="00461731" w:rsidRDefault="00AF34FD" w:rsidP="00AF34FD">
      <w:pPr>
        <w:ind w:firstLine="567"/>
        <w:jc w:val="both"/>
        <w:rPr>
          <w:bCs/>
          <w:iCs/>
          <w:sz w:val="20"/>
          <w:szCs w:val="20"/>
        </w:rPr>
      </w:pPr>
      <w:r w:rsidRPr="00461731">
        <w:rPr>
          <w:bCs/>
          <w:iCs/>
          <w:sz w:val="20"/>
          <w:szCs w:val="20"/>
        </w:rPr>
        <w:t xml:space="preserve">Car pedals can be categorized into two or three functions, based on the type of transmission. The automatic transmission has only two pedals which are the accelerator and the brake, while there is an additional pedal to the manual transmission which is known as the clutch. Even though there are two different transmissions, the car pedal is one of the main components to control the car mainly in speeding and braking task (Wang et al. 2004). Throughout the journey, drivers are required to interact with the car pedals frequently due to unexpected traffic and road conditions as well as the environment. According to </w:t>
      </w:r>
      <w:r w:rsidRPr="00461731">
        <w:rPr>
          <w:bCs/>
          <w:iCs/>
          <w:sz w:val="20"/>
          <w:szCs w:val="20"/>
        </w:rPr>
        <w:fldChar w:fldCharType="begin" w:fldLock="1"/>
      </w:r>
      <w:r w:rsidRPr="00461731">
        <w:rPr>
          <w:bCs/>
          <w:iCs/>
          <w:sz w:val="20"/>
          <w:szCs w:val="20"/>
        </w:rPr>
        <w:instrText>ADDIN CSL_CITATION { "citationItems" : [ { "id" : "ITEM-1", "itemData" : { "DOI" : "10.1109/ICSMC.2009.5346943", "ISBN" : "9781424427949", "ISSN" : "1062922X", "abstract" : "A human can maneuver mechanical systems by adjusting his/her own body naturally and effectively according to a target task by utilizing the kinematical and dynamic charac- teristics of operating systems acquired through sensory organs. If such human sensory and motor characteristics changing in the task can be quantitatively described, it would be useful to design and develop a novel human-machine system so that humans can manipulate a machine more instinctively and comfortably. This paper investigates the interaction between human sensory and motor properties at the foot during the operation of an automobile pedal, as an example of human-machine systems, and demonstrates the close relationship between the perceptual properties of force resistance at the foot and the loads for foot joints much depending on the pedal layout. Finally, based on biomechanical and perceptual analyses, a human-inspired design method of pedal dynamic properties is discussed.", "author" : [ { "dropping-particle" : "", "family" : "Tanaka", "given" : "Yoshiyuki", "non-dropping-particle" : "", "parse-names" : false, "suffix" : "" }, { "dropping-particle" : "", "family" : "Kaneyuki", "given" : "Hidekazu", "non-dropping-particle" : "", "parse-names" : false, "suffix" : "" }, { "dropping-particle" : "", "family" : "Tsuji", "given" : "Toshio", "non-dropping-particle" : "", "parse-names" : false, "suffix" : "" }, { "dropping-particle" : "", "family" : "Miyazaki", "given" : "Tooru", "non-dropping-particle" : "", "parse-names" : false, "suffix" : "" }, { "dropping-particle" : "", "family" : "Nishikawa", "given" : "Kazuo", "non-dropping-particle" : "", "parse-names" : false, "suffix" : "" }, { "dropping-particle" : "", "family" : "Nouzawa", "given" : "Takahide", "non-dropping-particle" : "", "parse-names" : false, "suffix" : "" } ], "container-title" : "Conference Proceedings - IEEE International Conference on Systems, Man and Cybernetics", "id" : "ITEM-1", "issue" : "October", "issued" : { "date-parts" : [ [ "2009" ] ] }, "page" : "1674-1679", "title" : "Mechanical and perceptual analyses of human foot movements in pedal operation", "type" : "article-journal" }, "uris" : [ "http://www.mendeley.com/documents/?uuid=cc2247dd-45a8-47ac-8e64-b5445dfc93a6" ] } ], "mendeley" : { "formattedCitation" : "(Tanaka et al., 2009)", "manualFormatting" : "Tanaka et al. (2009)", "plainTextFormattedCitation" : "(Tanaka et al., 2009)", "previouslyFormattedCitation" : "(Tanaka et al., 2009)" }, "properties" : { "noteIndex" : 0 }, "schema" : "https://github.com/citation-style-language/schema/raw/master/csl-citation.json" }</w:instrText>
      </w:r>
      <w:r w:rsidRPr="00461731">
        <w:rPr>
          <w:bCs/>
          <w:iCs/>
          <w:sz w:val="20"/>
          <w:szCs w:val="20"/>
        </w:rPr>
        <w:fldChar w:fldCharType="separate"/>
      </w:r>
      <w:r w:rsidRPr="00461731">
        <w:rPr>
          <w:bCs/>
          <w:iCs/>
          <w:sz w:val="20"/>
          <w:szCs w:val="20"/>
        </w:rPr>
        <w:t>Tanaka et al. (2009)</w:t>
      </w:r>
      <w:r w:rsidRPr="00461731">
        <w:rPr>
          <w:bCs/>
          <w:iCs/>
          <w:sz w:val="20"/>
          <w:szCs w:val="20"/>
        </w:rPr>
        <w:fldChar w:fldCharType="end"/>
      </w:r>
      <w:r w:rsidRPr="00461731">
        <w:rPr>
          <w:bCs/>
          <w:iCs/>
          <w:sz w:val="20"/>
          <w:szCs w:val="20"/>
        </w:rPr>
        <w:t xml:space="preserve">, there are two types of contact conditions in pedaling, between the foot-sole and pedal-pad. The effects when the foot touches the heel of the foot pedal and the floor of the car will cause discomfort to the driver while driving. </w:t>
      </w:r>
    </w:p>
    <w:p w14:paraId="54524523" w14:textId="77777777" w:rsidR="00AF34FD" w:rsidRPr="00461731" w:rsidRDefault="00AF34FD" w:rsidP="00AF34FD">
      <w:pPr>
        <w:ind w:firstLine="567"/>
        <w:jc w:val="both"/>
        <w:rPr>
          <w:bCs/>
          <w:iCs/>
          <w:sz w:val="20"/>
          <w:szCs w:val="20"/>
        </w:rPr>
      </w:pPr>
      <w:r w:rsidRPr="00461731">
        <w:rPr>
          <w:bCs/>
          <w:iCs/>
          <w:sz w:val="20"/>
          <w:szCs w:val="20"/>
        </w:rPr>
        <w:t>In term of biomechanics, there are two leg positions referring to ankle joint movement; plantar flexion and dorsiflexion (Keene, 2010). The plantar flexion is referred to the pressing of the pedal, while dorsiflexion is referred to the releasing of the pedal. Dorsiflexion happens when the driver releases the pedal with the ankle joint angle is less than 90° and at the maximum of 70°. Meanwhile, the plantar flexion occurs when the driver presses the pedal with the ankle joint angle greater than 90° and at the maximum of 140°.</w:t>
      </w:r>
    </w:p>
    <w:p w14:paraId="73333923" w14:textId="19D3DE92" w:rsidR="00AF34FD" w:rsidRDefault="00AF34FD" w:rsidP="00AF34FD">
      <w:pPr>
        <w:ind w:firstLine="567"/>
        <w:jc w:val="both"/>
        <w:rPr>
          <w:bCs/>
          <w:iCs/>
          <w:sz w:val="20"/>
          <w:szCs w:val="20"/>
        </w:rPr>
      </w:pPr>
      <w:r w:rsidRPr="00461731">
        <w:rPr>
          <w:bCs/>
          <w:iCs/>
          <w:sz w:val="20"/>
          <w:szCs w:val="20"/>
        </w:rPr>
        <w:t xml:space="preserve">This paper aims to investigate the effect of different actions when operating the accelerator pedal. Surface electromyography (SEMG) was used to measure the Tibialis Anterior (TA) muscle </w:t>
      </w:r>
      <w:r w:rsidRPr="00461731">
        <w:rPr>
          <w:bCs/>
          <w:iCs/>
          <w:sz w:val="20"/>
          <w:szCs w:val="20"/>
        </w:rPr>
        <w:t xml:space="preserve">activity based on different pedal actions. Basically, this paper contributes to the literature on the impact of muscle activity in two ways. First, this paper document an important relationship between pedal action and muscle activity value. Second, </w:t>
      </w:r>
      <w:r w:rsidR="00E81F1B" w:rsidRPr="00461731">
        <w:rPr>
          <w:bCs/>
          <w:iCs/>
          <w:sz w:val="20"/>
          <w:szCs w:val="20"/>
        </w:rPr>
        <w:t>the driver’s</w:t>
      </w:r>
      <w:r w:rsidRPr="00461731">
        <w:rPr>
          <w:bCs/>
          <w:iCs/>
          <w:sz w:val="20"/>
          <w:szCs w:val="20"/>
        </w:rPr>
        <w:t xml:space="preserve"> position influence</w:t>
      </w:r>
      <w:r w:rsidR="00E81F1B">
        <w:rPr>
          <w:bCs/>
          <w:iCs/>
          <w:sz w:val="20"/>
          <w:szCs w:val="20"/>
        </w:rPr>
        <w:t>s</w:t>
      </w:r>
      <w:r w:rsidRPr="00461731">
        <w:rPr>
          <w:bCs/>
          <w:iCs/>
          <w:sz w:val="20"/>
          <w:szCs w:val="20"/>
        </w:rPr>
        <w:t xml:space="preserve"> the driver’s condition when operating the car pedal. </w:t>
      </w:r>
    </w:p>
    <w:p w14:paraId="0F23E35C" w14:textId="77777777" w:rsidR="00AF34FD" w:rsidRPr="00461731" w:rsidRDefault="00AF34FD" w:rsidP="00AF34FD">
      <w:pPr>
        <w:ind w:firstLine="567"/>
        <w:jc w:val="both"/>
        <w:rPr>
          <w:bCs/>
          <w:iCs/>
          <w:sz w:val="20"/>
          <w:szCs w:val="20"/>
        </w:rPr>
      </w:pPr>
    </w:p>
    <w:p w14:paraId="6ED60CC5" w14:textId="77777777" w:rsidR="00181530" w:rsidRDefault="00181530" w:rsidP="00AF34FD">
      <w:pPr>
        <w:tabs>
          <w:tab w:val="right" w:pos="8640"/>
        </w:tabs>
        <w:contextualSpacing/>
        <w:jc w:val="center"/>
        <w:rPr>
          <w:rFonts w:eastAsia="Times New Roman"/>
          <w:sz w:val="16"/>
          <w:szCs w:val="16"/>
          <w:lang w:eastAsia="en-US"/>
        </w:rPr>
      </w:pPr>
    </w:p>
    <w:p w14:paraId="24B4E54B" w14:textId="77777777" w:rsidR="00AF34FD" w:rsidRPr="008F4700" w:rsidRDefault="00AF34FD" w:rsidP="00AF34FD">
      <w:pPr>
        <w:tabs>
          <w:tab w:val="right" w:pos="8640"/>
        </w:tabs>
        <w:contextualSpacing/>
        <w:jc w:val="center"/>
        <w:rPr>
          <w:rFonts w:eastAsia="Times New Roman"/>
          <w:lang w:eastAsia="en-US"/>
        </w:rPr>
      </w:pPr>
      <w:r w:rsidRPr="008F4700">
        <w:rPr>
          <w:rFonts w:eastAsia="Times New Roman"/>
          <w:lang w:eastAsia="en-US"/>
        </w:rPr>
        <w:t>METHODOLOGY</w:t>
      </w:r>
    </w:p>
    <w:p w14:paraId="4ACD2E4F" w14:textId="2B69CA07" w:rsidR="00AF34FD" w:rsidRPr="008F4700" w:rsidRDefault="008F4700" w:rsidP="00AF34FD">
      <w:pPr>
        <w:keepNext/>
        <w:spacing w:before="240" w:after="60"/>
        <w:jc w:val="center"/>
        <w:outlineLvl w:val="1"/>
        <w:rPr>
          <w:bCs/>
          <w:iCs/>
          <w:sz w:val="20"/>
          <w:szCs w:val="20"/>
        </w:rPr>
      </w:pPr>
      <w:r w:rsidRPr="008F4700">
        <w:rPr>
          <w:bCs/>
          <w:iCs/>
          <w:sz w:val="20"/>
          <w:szCs w:val="20"/>
        </w:rPr>
        <w:t>PARTICIPANTS</w:t>
      </w:r>
    </w:p>
    <w:p w14:paraId="3C767227" w14:textId="77777777" w:rsidR="00AF34FD" w:rsidRPr="00461731" w:rsidRDefault="00AF34FD" w:rsidP="00AF34FD">
      <w:pPr>
        <w:rPr>
          <w:rFonts w:eastAsia="Times New Roman"/>
          <w:sz w:val="20"/>
          <w:szCs w:val="20"/>
          <w:lang w:eastAsia="en-US"/>
        </w:rPr>
      </w:pPr>
    </w:p>
    <w:p w14:paraId="270619C3"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Eleven participants (mean age of 29 years, mean height = 161 cm, mean weight = 56 kg) were assigned from the population of staff and students at Universiti Kebangsaan Malaysia (UKM) to take part in this study. Each participant was required to attend one session, either in the morning session (from 9 am to 12 pm) or in the evening session (from 2 pm to 5 pm). The inclusion criteria were all respondents held a full Malaysia driving license, had at least 3 years of driving experiences and aged between 22 to 35 years. The constriction of the age range was proposed to reduce variations in the results due to age, since even in normal ageing, people present slight perceptive variations that have a direct attitude towards driving (Antonson et al. 2014). </w:t>
      </w:r>
    </w:p>
    <w:p w14:paraId="30170E48" w14:textId="77777777" w:rsidR="00AF34FD" w:rsidRPr="00461731" w:rsidRDefault="00AF34FD" w:rsidP="00AF34FD">
      <w:pPr>
        <w:ind w:firstLine="567"/>
        <w:jc w:val="both"/>
        <w:rPr>
          <w:rFonts w:eastAsia="Times New Roman"/>
          <w:sz w:val="20"/>
          <w:szCs w:val="20"/>
          <w:lang w:eastAsia="en-US"/>
        </w:rPr>
      </w:pPr>
      <w:r w:rsidRPr="00461731">
        <w:rPr>
          <w:rFonts w:eastAsia="Times New Roman"/>
          <w:sz w:val="20"/>
          <w:szCs w:val="20"/>
          <w:lang w:eastAsia="en-US"/>
        </w:rPr>
        <w:t xml:space="preserve">All participants were allowed to adapt with the car simulator setup and car seat adjustment before starting the experiment. The experiment was started after five minutes the participant had been in the driving position to allow them to adapt with the </w:t>
      </w:r>
      <w:r w:rsidRPr="00461731">
        <w:rPr>
          <w:rFonts w:eastAsia="Times New Roman"/>
          <w:sz w:val="20"/>
          <w:szCs w:val="20"/>
          <w:lang w:eastAsia="en-US"/>
        </w:rPr>
        <w:lastRenderedPageBreak/>
        <w:t xml:space="preserve">seat environment and fabrics. All participants understood and complied with the oral and written instructions provided by researcher for this experiment. Information about the experiment procedure was included. After receiving the complete information on the study, each participant signed an informed consent. </w:t>
      </w:r>
    </w:p>
    <w:p w14:paraId="7F8B9BB8" w14:textId="63F0FB1E" w:rsidR="00AF34FD" w:rsidRPr="008F4700" w:rsidRDefault="008F4700" w:rsidP="00AF34FD">
      <w:pPr>
        <w:keepNext/>
        <w:spacing w:before="240" w:after="60"/>
        <w:jc w:val="center"/>
        <w:outlineLvl w:val="1"/>
        <w:rPr>
          <w:bCs/>
          <w:iCs/>
          <w:sz w:val="20"/>
          <w:szCs w:val="20"/>
        </w:rPr>
      </w:pPr>
      <w:r w:rsidRPr="008F4700">
        <w:rPr>
          <w:bCs/>
          <w:iCs/>
          <w:sz w:val="20"/>
          <w:szCs w:val="20"/>
        </w:rPr>
        <w:t>EXPERIMENT DESIGN AND PROCEDURE</w:t>
      </w:r>
    </w:p>
    <w:p w14:paraId="29E1F18F" w14:textId="77777777" w:rsidR="00AF34FD" w:rsidRPr="00461731" w:rsidRDefault="00AF34FD" w:rsidP="00AF34FD">
      <w:pPr>
        <w:rPr>
          <w:rFonts w:eastAsia="Times New Roman"/>
          <w:sz w:val="20"/>
          <w:szCs w:val="20"/>
          <w:lang w:eastAsia="en-US"/>
        </w:rPr>
      </w:pPr>
    </w:p>
    <w:p w14:paraId="5BFCBD69"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The participant should sit on the car seat with the closest seated position to the car controls. The back rest of the car seat was fixed at 100</w:t>
      </w:r>
      <w:r w:rsidRPr="00461731">
        <w:rPr>
          <w:rFonts w:eastAsia="Times New Roman"/>
          <w:sz w:val="20"/>
          <w:szCs w:val="20"/>
          <w:vertAlign w:val="superscript"/>
          <w:lang w:eastAsia="en-US"/>
        </w:rPr>
        <w:t>0</w:t>
      </w:r>
      <w:r w:rsidRPr="00461731">
        <w:rPr>
          <w:rFonts w:eastAsia="Times New Roman"/>
          <w:sz w:val="20"/>
          <w:szCs w:val="20"/>
          <w:lang w:eastAsia="en-US"/>
        </w:rPr>
        <w:t xml:space="preserve"> in this study, as depicted in Figure 1. During recording the SEMG data, the participant must place their hand at 10 and 2 o’clock as shown in Figure 1. In addition, the participant need to ensure the right leg at the car pedal, while the left leg at the car simulator floor, near to clutch pedal.</w:t>
      </w:r>
    </w:p>
    <w:p w14:paraId="09FB4368" w14:textId="77777777" w:rsidR="00AF34FD" w:rsidRPr="00461731" w:rsidRDefault="00AF34FD" w:rsidP="00AF34FD">
      <w:pPr>
        <w:rPr>
          <w:rFonts w:eastAsia="Times New Roman"/>
          <w:sz w:val="20"/>
          <w:szCs w:val="20"/>
          <w:lang w:eastAsia="en-US"/>
        </w:rPr>
      </w:pPr>
    </w:p>
    <w:p w14:paraId="0755B398" w14:textId="77777777" w:rsidR="00AF34FD" w:rsidRPr="00461731" w:rsidRDefault="00AF34FD" w:rsidP="00AF34FD">
      <w:pPr>
        <w:jc w:val="center"/>
        <w:rPr>
          <w:bCs/>
          <w:sz w:val="20"/>
          <w:szCs w:val="20"/>
        </w:rPr>
      </w:pPr>
      <w:r w:rsidRPr="00461731">
        <w:rPr>
          <w:noProof/>
          <w:sz w:val="20"/>
          <w:szCs w:val="20"/>
          <w:lang w:val="en-MY" w:eastAsia="en-MY"/>
        </w:rPr>
        <w:drawing>
          <wp:inline distT="0" distB="0" distL="0" distR="0" wp14:anchorId="76186331" wp14:editId="4A8DF861">
            <wp:extent cx="1488440" cy="1279493"/>
            <wp:effectExtent l="47625" t="47625" r="45085" b="45085"/>
            <wp:docPr id="2" name="Picture 2" descr="D:\Users\SPI-2281\Dropbox\1_PhD\1_THESIS\Pics Experiment\P_20170106_10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D:\Users\SPI-2281\Dropbox\1_PhD\1_THESIS\Pics Experiment\P_20170106_10005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622"/>
                    <a:stretch/>
                  </pic:blipFill>
                  <pic:spPr bwMode="auto">
                    <a:xfrm rot="5400000">
                      <a:off x="0" y="0"/>
                      <a:ext cx="1488440" cy="1278890"/>
                    </a:xfrm>
                    <a:prstGeom prst="rect">
                      <a:avLst/>
                    </a:prstGeom>
                    <a:noFill/>
                    <a:ln>
                      <a:noFill/>
                    </a:ln>
                    <a:scene3d>
                      <a:camera prst="orthographicFront"/>
                      <a:lightRig rig="threePt" dir="t"/>
                    </a:scene3d>
                    <a:sp3d contourW="12700"/>
                    <a:extLst>
                      <a:ext uri="{53640926-AAD7-44D8-BBD7-CCE9431645EC}">
                        <a14:shadowObscured xmlns:a14="http://schemas.microsoft.com/office/drawing/2010/main"/>
                      </a:ext>
                    </a:extLst>
                  </pic:spPr>
                </pic:pic>
              </a:graphicData>
            </a:graphic>
          </wp:inline>
        </w:drawing>
      </w:r>
    </w:p>
    <w:p w14:paraId="7DD77447" w14:textId="77777777" w:rsidR="00AF34FD" w:rsidRPr="00461731" w:rsidRDefault="00AF34FD" w:rsidP="00AF34FD">
      <w:pPr>
        <w:spacing w:line="480" w:lineRule="auto"/>
        <w:jc w:val="center"/>
        <w:rPr>
          <w:bCs/>
          <w:iCs/>
          <w:sz w:val="14"/>
          <w:szCs w:val="14"/>
        </w:rPr>
      </w:pPr>
    </w:p>
    <w:p w14:paraId="4D94D27C" w14:textId="77777777" w:rsidR="00AF34FD" w:rsidRPr="00461731" w:rsidRDefault="00AF34FD" w:rsidP="00AF34FD">
      <w:pPr>
        <w:spacing w:line="480" w:lineRule="auto"/>
        <w:jc w:val="center"/>
        <w:rPr>
          <w:bCs/>
          <w:iCs/>
          <w:sz w:val="18"/>
          <w:szCs w:val="18"/>
        </w:rPr>
      </w:pPr>
      <w:r w:rsidRPr="00461731">
        <w:rPr>
          <w:bCs/>
          <w:iCs/>
          <w:sz w:val="18"/>
          <w:szCs w:val="18"/>
        </w:rPr>
        <w:t>FIGURE 1. Participant’s posture</w:t>
      </w:r>
    </w:p>
    <w:p w14:paraId="615BC147" w14:textId="2EB5F989" w:rsidR="00AF34FD" w:rsidRPr="008F4700" w:rsidRDefault="008F4700" w:rsidP="00AF34FD">
      <w:pPr>
        <w:keepNext/>
        <w:spacing w:before="240" w:after="60"/>
        <w:jc w:val="center"/>
        <w:outlineLvl w:val="1"/>
        <w:rPr>
          <w:bCs/>
          <w:iCs/>
          <w:sz w:val="20"/>
          <w:szCs w:val="20"/>
        </w:rPr>
      </w:pPr>
      <w:r w:rsidRPr="008F4700">
        <w:rPr>
          <w:bCs/>
          <w:iCs/>
          <w:sz w:val="20"/>
          <w:szCs w:val="20"/>
        </w:rPr>
        <w:t>EXPERIMENT EQUIPMENT</w:t>
      </w:r>
    </w:p>
    <w:p w14:paraId="18129FA8" w14:textId="77777777" w:rsidR="00AF34FD" w:rsidRPr="00461731" w:rsidRDefault="00AF34FD" w:rsidP="00AF34FD">
      <w:pPr>
        <w:rPr>
          <w:rFonts w:eastAsia="Times New Roman"/>
          <w:sz w:val="20"/>
          <w:szCs w:val="20"/>
          <w:lang w:eastAsia="en-US"/>
        </w:rPr>
      </w:pPr>
    </w:p>
    <w:p w14:paraId="1D83A1DC"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SEMG measurement was used in this study to investigate the muscle activity according to the different actions while operating the car pedal. A </w:t>
      </w:r>
      <w:proofErr w:type="spellStart"/>
      <w:r w:rsidRPr="00461731">
        <w:rPr>
          <w:rFonts w:eastAsia="Times New Roman"/>
          <w:sz w:val="20"/>
          <w:szCs w:val="20"/>
          <w:lang w:eastAsia="en-US"/>
        </w:rPr>
        <w:t>Trigno</w:t>
      </w:r>
      <w:proofErr w:type="spellEnd"/>
      <w:r w:rsidRPr="00461731">
        <w:rPr>
          <w:rFonts w:eastAsia="Times New Roman"/>
          <w:sz w:val="20"/>
          <w:szCs w:val="20"/>
          <w:lang w:eastAsia="en-US"/>
        </w:rPr>
        <w:t xml:space="preserve">™ Personal Monitor with Parallel-Bar Sensors from </w:t>
      </w:r>
      <w:proofErr w:type="spellStart"/>
      <w:r w:rsidRPr="00461731">
        <w:rPr>
          <w:rFonts w:eastAsia="Times New Roman"/>
          <w:sz w:val="20"/>
          <w:szCs w:val="20"/>
          <w:lang w:eastAsia="en-US"/>
        </w:rPr>
        <w:t>Delsys</w:t>
      </w:r>
      <w:proofErr w:type="spellEnd"/>
      <w:r w:rsidRPr="00461731">
        <w:rPr>
          <w:rFonts w:eastAsia="Times New Roman"/>
          <w:sz w:val="20"/>
          <w:szCs w:val="20"/>
          <w:lang w:eastAsia="en-US"/>
        </w:rPr>
        <w:t xml:space="preserve"> Incorporation was used to collect these analog data of muscle activity with sample rate up to 1000Hz interfaced with 5-channel signal amplifier. Figure 2 illustrates the </w:t>
      </w:r>
      <w:proofErr w:type="spellStart"/>
      <w:r w:rsidRPr="00461731">
        <w:rPr>
          <w:rFonts w:eastAsia="Times New Roman"/>
          <w:sz w:val="20"/>
          <w:szCs w:val="20"/>
          <w:lang w:eastAsia="en-US"/>
        </w:rPr>
        <w:t>Trigno</w:t>
      </w:r>
      <w:proofErr w:type="spellEnd"/>
      <w:r w:rsidRPr="00461731">
        <w:rPr>
          <w:rFonts w:eastAsia="Times New Roman"/>
          <w:sz w:val="20"/>
          <w:szCs w:val="20"/>
          <w:lang w:eastAsia="en-US"/>
        </w:rPr>
        <w:t>™ Personal Monitor with Parallel-Bar Sensors.</w:t>
      </w:r>
    </w:p>
    <w:p w14:paraId="5DE546BE" w14:textId="77777777" w:rsidR="00AF34FD" w:rsidRPr="00461731" w:rsidRDefault="00AF34FD" w:rsidP="00AF34FD">
      <w:pPr>
        <w:jc w:val="both"/>
        <w:rPr>
          <w:rFonts w:eastAsia="Times New Roman"/>
          <w:sz w:val="20"/>
          <w:szCs w:val="20"/>
          <w:lang w:eastAsia="en-US"/>
        </w:rPr>
      </w:pPr>
    </w:p>
    <w:p w14:paraId="3FD7CE5A" w14:textId="77777777" w:rsidR="00AF34FD" w:rsidRPr="00461731" w:rsidRDefault="00AF34FD" w:rsidP="00AF34FD">
      <w:pPr>
        <w:spacing w:line="480" w:lineRule="auto"/>
        <w:jc w:val="center"/>
        <w:rPr>
          <w:rFonts w:eastAsia="Times New Roman"/>
          <w:sz w:val="20"/>
          <w:szCs w:val="20"/>
          <w:lang w:val="en-MY" w:eastAsia="en-US"/>
        </w:rPr>
      </w:pPr>
      <w:r w:rsidRPr="00461731">
        <w:rPr>
          <w:rFonts w:eastAsia="Times New Roman"/>
          <w:noProof/>
          <w:sz w:val="20"/>
          <w:szCs w:val="20"/>
          <w:lang w:val="en-MY" w:eastAsia="en-MY"/>
        </w:rPr>
        <w:drawing>
          <wp:inline distT="0" distB="0" distL="0" distR="0" wp14:anchorId="0C565B5B" wp14:editId="64061F9A">
            <wp:extent cx="1924685" cy="1477645"/>
            <wp:effectExtent l="0" t="0" r="0" b="8255"/>
            <wp:docPr id="4" name="Picture 4" descr="http://www.delsys.com/wp-content/uploads/2014/03/TPM-300x231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delsys.com/wp-content/uploads/2014/03/TPM-300x231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685" cy="1477645"/>
                    </a:xfrm>
                    <a:prstGeom prst="rect">
                      <a:avLst/>
                    </a:prstGeom>
                    <a:noFill/>
                    <a:ln w="12700" cmpd="sng">
                      <a:noFill/>
                      <a:miter lim="800000"/>
                      <a:headEnd/>
                      <a:tailEnd/>
                    </a:ln>
                    <a:effectLst/>
                  </pic:spPr>
                </pic:pic>
              </a:graphicData>
            </a:graphic>
          </wp:inline>
        </w:drawing>
      </w:r>
    </w:p>
    <w:p w14:paraId="551418AD" w14:textId="77777777" w:rsidR="00AF34FD" w:rsidRPr="00461731" w:rsidRDefault="00AF34FD" w:rsidP="00AF34FD">
      <w:pPr>
        <w:spacing w:line="480" w:lineRule="auto"/>
        <w:jc w:val="center"/>
        <w:rPr>
          <w:rFonts w:eastAsia="Times New Roman"/>
          <w:sz w:val="18"/>
          <w:szCs w:val="18"/>
          <w:lang w:val="en-MY" w:eastAsia="en-US"/>
        </w:rPr>
      </w:pPr>
      <w:r w:rsidRPr="00461731">
        <w:rPr>
          <w:rFonts w:eastAsia="Times New Roman"/>
          <w:sz w:val="18"/>
          <w:szCs w:val="18"/>
          <w:lang w:val="en-MY" w:eastAsia="en-US"/>
        </w:rPr>
        <w:t xml:space="preserve">FIGURE 2. A </w:t>
      </w:r>
      <w:proofErr w:type="spellStart"/>
      <w:r w:rsidRPr="00461731">
        <w:rPr>
          <w:rFonts w:eastAsia="Times New Roman"/>
          <w:sz w:val="18"/>
          <w:szCs w:val="18"/>
          <w:lang w:val="en-MY" w:eastAsia="en-US"/>
        </w:rPr>
        <w:t>Trigno</w:t>
      </w:r>
      <w:proofErr w:type="spellEnd"/>
      <w:r w:rsidRPr="00461731">
        <w:rPr>
          <w:rFonts w:eastAsia="Times New Roman"/>
          <w:sz w:val="18"/>
          <w:szCs w:val="18"/>
          <w:lang w:val="en-MY" w:eastAsia="en-US"/>
        </w:rPr>
        <w:t xml:space="preserve">™ Personal Monitor </w:t>
      </w:r>
    </w:p>
    <w:p w14:paraId="7F0397B6" w14:textId="77777777" w:rsidR="00AF34FD" w:rsidRPr="00461731" w:rsidRDefault="00AF34FD" w:rsidP="00AF34FD">
      <w:pPr>
        <w:ind w:firstLine="567"/>
        <w:jc w:val="both"/>
        <w:rPr>
          <w:sz w:val="20"/>
          <w:szCs w:val="20"/>
        </w:rPr>
      </w:pPr>
      <w:r w:rsidRPr="00461731">
        <w:rPr>
          <w:sz w:val="20"/>
          <w:szCs w:val="20"/>
        </w:rPr>
        <w:t>The surface myo-electrical signal was converted to the analog data which later converted to digital data at the signal analysis personal computer interface. SEMG measurement was performed by placing electrodes on the skin’s surface and electrical activity of the right TA underneath was recorded. The data collection procedure on the selected muscle was according to the Surface Electromyography for the Non-Invasive</w:t>
      </w:r>
      <w:r w:rsidR="00181530">
        <w:rPr>
          <w:sz w:val="20"/>
          <w:szCs w:val="20"/>
        </w:rPr>
        <w:t xml:space="preserve"> </w:t>
      </w:r>
      <w:r w:rsidRPr="00461731">
        <w:rPr>
          <w:sz w:val="20"/>
          <w:szCs w:val="20"/>
        </w:rPr>
        <w:t>Assessment</w:t>
      </w:r>
      <w:r w:rsidR="00181530">
        <w:rPr>
          <w:sz w:val="20"/>
          <w:szCs w:val="20"/>
        </w:rPr>
        <w:t xml:space="preserve"> o</w:t>
      </w:r>
      <w:r w:rsidRPr="00461731">
        <w:rPr>
          <w:sz w:val="20"/>
          <w:szCs w:val="20"/>
        </w:rPr>
        <w:t>f Muscles</w:t>
      </w:r>
      <w:r w:rsidR="00181530">
        <w:rPr>
          <w:sz w:val="20"/>
          <w:szCs w:val="20"/>
        </w:rPr>
        <w:t xml:space="preserve"> </w:t>
      </w:r>
      <w:r w:rsidRPr="00461731">
        <w:rPr>
          <w:sz w:val="20"/>
          <w:szCs w:val="20"/>
        </w:rPr>
        <w:t>(SENIAM)</w:t>
      </w:r>
      <w:r w:rsidR="00181530">
        <w:rPr>
          <w:sz w:val="20"/>
          <w:szCs w:val="20"/>
        </w:rPr>
        <w:t xml:space="preserve"> </w:t>
      </w:r>
      <w:r w:rsidRPr="00461731">
        <w:rPr>
          <w:sz w:val="20"/>
          <w:szCs w:val="20"/>
        </w:rPr>
        <w:t xml:space="preserve">recommendations. This section provides details on SEMG measurement used in this study. </w:t>
      </w:r>
    </w:p>
    <w:p w14:paraId="47E00C6A" w14:textId="77777777" w:rsidR="00AF34FD" w:rsidRPr="00461731" w:rsidRDefault="00AF34FD" w:rsidP="00AF34FD">
      <w:pPr>
        <w:ind w:firstLine="720"/>
        <w:jc w:val="both"/>
        <w:rPr>
          <w:sz w:val="20"/>
          <w:szCs w:val="20"/>
        </w:rPr>
      </w:pPr>
    </w:p>
    <w:p w14:paraId="79491C8A" w14:textId="77777777" w:rsidR="00544ABF" w:rsidRDefault="00544ABF" w:rsidP="00AF34FD">
      <w:pPr>
        <w:jc w:val="center"/>
        <w:rPr>
          <w:sz w:val="16"/>
          <w:szCs w:val="16"/>
        </w:rPr>
      </w:pPr>
    </w:p>
    <w:p w14:paraId="04D8D8C4" w14:textId="335ADEA5" w:rsidR="00AF34FD" w:rsidRPr="008F4700" w:rsidRDefault="008F4700" w:rsidP="00AF34FD">
      <w:pPr>
        <w:jc w:val="center"/>
        <w:rPr>
          <w:sz w:val="20"/>
          <w:szCs w:val="20"/>
        </w:rPr>
      </w:pPr>
      <w:r w:rsidRPr="008F4700">
        <w:rPr>
          <w:sz w:val="20"/>
          <w:szCs w:val="20"/>
        </w:rPr>
        <w:t>SEMG DATA COLLECTION PREPARATION</w:t>
      </w:r>
    </w:p>
    <w:p w14:paraId="0E0089C8" w14:textId="77777777" w:rsidR="00AF34FD" w:rsidRPr="00461731" w:rsidRDefault="00AF34FD" w:rsidP="00AF34FD">
      <w:pPr>
        <w:rPr>
          <w:rFonts w:eastAsia="Times New Roman"/>
          <w:sz w:val="20"/>
          <w:szCs w:val="20"/>
          <w:lang w:eastAsia="en-US"/>
        </w:rPr>
      </w:pPr>
    </w:p>
    <w:p w14:paraId="45B2886F"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Skin inspection were performed prior to the electrodes placement which to reduce the skin impedance and avoid noises on the SEMG readings.  Proper skin preparation was required to improve the electrode-skin contact. All subjects shaved at the selected muscle belly, cleaning with alcohol, rubbing with gel and abrasion with an abrasive cream such as </w:t>
      </w:r>
      <w:proofErr w:type="spellStart"/>
      <w:r w:rsidRPr="00461731">
        <w:rPr>
          <w:rFonts w:eastAsia="Times New Roman"/>
          <w:sz w:val="20"/>
          <w:szCs w:val="20"/>
          <w:lang w:eastAsia="en-US"/>
        </w:rPr>
        <w:t>NuPrep</w:t>
      </w:r>
      <w:proofErr w:type="spellEnd"/>
      <w:r w:rsidRPr="00461731">
        <w:rPr>
          <w:rFonts w:eastAsia="Times New Roman"/>
          <w:sz w:val="20"/>
          <w:szCs w:val="20"/>
          <w:lang w:eastAsia="en-US"/>
        </w:rPr>
        <w:t xml:space="preserve"> (Florimond, 2009).  The SEMG electrodes were pasted directly on the selected muscles belly after careful palpation and parallel to its muscle fibers. The procedure of electrodes placement such as body posture, location of electrodes, orientation, clinical test and task for selected muscle are depicted in Table 2. The cross symbol in the figures inside the Table 2 indicates the selected muscle. After the electrodes were placed and fixed, the electrodes could be connected to the SEMG equipment and a clinical test could be performed to test whether the electrodes have been placed properly on the muscle and connected to the equipment so that a reliable SEMG signal can be recorded.</w:t>
      </w:r>
    </w:p>
    <w:p w14:paraId="6D28EECD" w14:textId="77777777" w:rsidR="0032639E" w:rsidRDefault="0032639E" w:rsidP="00AF34FD">
      <w:pPr>
        <w:jc w:val="both"/>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tbl>
      <w:tblPr>
        <w:tblW w:w="0" w:type="auto"/>
        <w:tblLook w:val="04A0" w:firstRow="1" w:lastRow="0" w:firstColumn="1" w:lastColumn="0" w:noHBand="0" w:noVBand="1"/>
      </w:tblPr>
      <w:tblGrid>
        <w:gridCol w:w="8323"/>
      </w:tblGrid>
      <w:tr w:rsidR="00AF34FD" w:rsidRPr="00461731" w14:paraId="73C77052" w14:textId="77777777" w:rsidTr="00D47561">
        <w:tc>
          <w:tcPr>
            <w:tcW w:w="8323" w:type="dxa"/>
            <w:shd w:val="clear" w:color="auto" w:fill="auto"/>
          </w:tcPr>
          <w:p w14:paraId="565E1E90" w14:textId="77777777" w:rsidR="00AF34FD" w:rsidRPr="00461731" w:rsidRDefault="00AF34FD" w:rsidP="00D47561">
            <w:pPr>
              <w:suppressAutoHyphens/>
              <w:jc w:val="center"/>
              <w:rPr>
                <w:rFonts w:eastAsia="Calibri" w:cs="Calibri"/>
                <w:sz w:val="18"/>
                <w:szCs w:val="18"/>
                <w:lang w:val="en-MY" w:eastAsia="en-US"/>
              </w:rPr>
            </w:pPr>
          </w:p>
        </w:tc>
      </w:tr>
    </w:tbl>
    <w:p w14:paraId="2CD51419" w14:textId="77777777" w:rsidR="009A017A" w:rsidRDefault="009A017A" w:rsidP="00AF34FD">
      <w:pPr>
        <w:suppressAutoHyphens/>
        <w:jc w:val="center"/>
        <w:rPr>
          <w:rFonts w:eastAsia="Calibri" w:cs="Calibri"/>
          <w:sz w:val="18"/>
          <w:szCs w:val="18"/>
          <w:lang w:val="en-MY" w:eastAsia="en-US"/>
        </w:rPr>
      </w:pPr>
    </w:p>
    <w:p w14:paraId="536B3757" w14:textId="77777777" w:rsidR="009A017A" w:rsidRDefault="009A017A" w:rsidP="00AF34FD">
      <w:pPr>
        <w:suppressAutoHyphens/>
        <w:jc w:val="center"/>
        <w:rPr>
          <w:rFonts w:eastAsia="Calibri" w:cs="Calibri"/>
          <w:sz w:val="18"/>
          <w:szCs w:val="18"/>
          <w:lang w:val="en-MY" w:eastAsia="en-US"/>
        </w:rPr>
      </w:pPr>
    </w:p>
    <w:p w14:paraId="7C1A4069" w14:textId="77777777" w:rsidR="009A017A" w:rsidRDefault="009A017A" w:rsidP="00AF34FD">
      <w:pPr>
        <w:suppressAutoHyphens/>
        <w:jc w:val="center"/>
        <w:rPr>
          <w:rFonts w:eastAsia="Calibri" w:cs="Calibri"/>
          <w:sz w:val="18"/>
          <w:szCs w:val="18"/>
          <w:lang w:val="en-MY" w:eastAsia="en-US"/>
        </w:rPr>
      </w:pPr>
    </w:p>
    <w:p w14:paraId="473557C6" w14:textId="77777777" w:rsidR="009A017A" w:rsidRDefault="009A017A" w:rsidP="00AF34FD">
      <w:pPr>
        <w:suppressAutoHyphens/>
        <w:jc w:val="center"/>
        <w:rPr>
          <w:rFonts w:eastAsia="Calibri" w:cs="Calibri"/>
          <w:sz w:val="18"/>
          <w:szCs w:val="18"/>
          <w:lang w:val="en-MY" w:eastAsia="en-US"/>
        </w:rPr>
      </w:pPr>
    </w:p>
    <w:p w14:paraId="7B6BA343" w14:textId="77777777" w:rsidR="009A017A" w:rsidRDefault="009A017A" w:rsidP="00AF34FD">
      <w:pPr>
        <w:suppressAutoHyphens/>
        <w:jc w:val="center"/>
        <w:rPr>
          <w:rFonts w:eastAsia="Calibri" w:cs="Calibri"/>
          <w:sz w:val="18"/>
          <w:szCs w:val="18"/>
          <w:lang w:val="en-MY" w:eastAsia="en-US"/>
        </w:rPr>
      </w:pPr>
    </w:p>
    <w:p w14:paraId="59B6A497" w14:textId="77777777" w:rsidR="009A017A" w:rsidRDefault="009A017A" w:rsidP="00AF34FD">
      <w:pPr>
        <w:suppressAutoHyphens/>
        <w:jc w:val="center"/>
        <w:rPr>
          <w:rFonts w:eastAsia="Calibri" w:cs="Calibri"/>
          <w:sz w:val="18"/>
          <w:szCs w:val="18"/>
          <w:lang w:val="en-MY" w:eastAsia="en-US"/>
        </w:rPr>
      </w:pPr>
    </w:p>
    <w:p w14:paraId="5F9E88F4" w14:textId="77777777" w:rsidR="009A017A" w:rsidRDefault="009A017A" w:rsidP="00AF34FD">
      <w:pPr>
        <w:suppressAutoHyphens/>
        <w:jc w:val="center"/>
        <w:rPr>
          <w:rFonts w:eastAsia="Calibri" w:cs="Calibri"/>
          <w:sz w:val="18"/>
          <w:szCs w:val="18"/>
          <w:lang w:val="en-MY" w:eastAsia="en-US"/>
        </w:rPr>
      </w:pPr>
    </w:p>
    <w:p w14:paraId="6AC326EB" w14:textId="77777777" w:rsidR="009A017A" w:rsidRDefault="009A017A" w:rsidP="00AF34FD">
      <w:pPr>
        <w:suppressAutoHyphens/>
        <w:jc w:val="center"/>
        <w:rPr>
          <w:rFonts w:eastAsia="Calibri" w:cs="Calibri"/>
          <w:sz w:val="18"/>
          <w:szCs w:val="18"/>
          <w:lang w:val="en-MY" w:eastAsia="en-US"/>
        </w:rPr>
      </w:pPr>
    </w:p>
    <w:p w14:paraId="6188478F" w14:textId="77777777" w:rsidR="009A017A" w:rsidRDefault="009A017A" w:rsidP="00AF34FD">
      <w:pPr>
        <w:suppressAutoHyphens/>
        <w:jc w:val="center"/>
        <w:rPr>
          <w:rFonts w:eastAsia="Calibri" w:cs="Calibri"/>
          <w:sz w:val="18"/>
          <w:szCs w:val="18"/>
          <w:lang w:val="en-MY" w:eastAsia="en-US"/>
        </w:rPr>
      </w:pPr>
    </w:p>
    <w:p w14:paraId="3956C13E" w14:textId="77777777" w:rsidR="009A017A" w:rsidRDefault="009A017A" w:rsidP="00AF34FD">
      <w:pPr>
        <w:suppressAutoHyphens/>
        <w:jc w:val="center"/>
        <w:rPr>
          <w:rFonts w:eastAsia="Calibri" w:cs="Calibri"/>
          <w:sz w:val="18"/>
          <w:szCs w:val="18"/>
          <w:lang w:val="en-MY" w:eastAsia="en-US"/>
        </w:rPr>
      </w:pPr>
    </w:p>
    <w:p w14:paraId="452CFD37" w14:textId="442E2538" w:rsidR="00AF34FD" w:rsidRPr="00461731" w:rsidRDefault="00AF34FD" w:rsidP="00AF34FD">
      <w:pPr>
        <w:suppressAutoHyphens/>
        <w:jc w:val="center"/>
        <w:rPr>
          <w:rFonts w:eastAsia="Calibri" w:cs="Calibri"/>
          <w:sz w:val="18"/>
          <w:szCs w:val="18"/>
          <w:lang w:val="en-MY" w:eastAsia="en-US"/>
        </w:rPr>
      </w:pPr>
      <w:r w:rsidRPr="00461731">
        <w:rPr>
          <w:rFonts w:eastAsia="Calibri" w:cs="Calibri"/>
          <w:sz w:val="18"/>
          <w:szCs w:val="18"/>
          <w:lang w:val="en-MY" w:eastAsia="en-US"/>
        </w:rPr>
        <w:lastRenderedPageBreak/>
        <w:t>TABLE 2. Identification of selected muscle a</w:t>
      </w:r>
      <w:r w:rsidR="00181530">
        <w:rPr>
          <w:rFonts w:eastAsia="Calibri" w:cs="Calibri"/>
          <w:sz w:val="18"/>
          <w:szCs w:val="18"/>
          <w:lang w:val="en-MY" w:eastAsia="en-US"/>
        </w:rPr>
        <w:t>nd</w:t>
      </w:r>
      <w:r w:rsidRPr="00461731">
        <w:rPr>
          <w:rFonts w:eastAsia="Calibri" w:cs="Calibri"/>
          <w:sz w:val="18"/>
          <w:szCs w:val="18"/>
          <w:lang w:val="en-MY" w:eastAsia="en-US"/>
        </w:rPr>
        <w:t xml:space="preserve"> electrode placement position</w:t>
      </w:r>
    </w:p>
    <w:p w14:paraId="69FAF188" w14:textId="77777777" w:rsidR="00AF34FD" w:rsidRPr="00461731" w:rsidRDefault="00AF34FD" w:rsidP="00AF34FD">
      <w:pPr>
        <w:jc w:val="both"/>
        <w:rPr>
          <w:rFonts w:eastAsia="Times New Roman"/>
          <w:sz w:val="20"/>
          <w:szCs w:val="20"/>
          <w:lang w:eastAsia="en-US"/>
        </w:rPr>
      </w:pPr>
    </w:p>
    <w:tbl>
      <w:tblPr>
        <w:tblW w:w="7751" w:type="dxa"/>
        <w:jc w:val="center"/>
        <w:tblLayout w:type="fixed"/>
        <w:tblLook w:val="04A0" w:firstRow="1" w:lastRow="0" w:firstColumn="1" w:lastColumn="0" w:noHBand="0" w:noVBand="1"/>
      </w:tblPr>
      <w:tblGrid>
        <w:gridCol w:w="827"/>
        <w:gridCol w:w="968"/>
        <w:gridCol w:w="1463"/>
        <w:gridCol w:w="2857"/>
        <w:gridCol w:w="1636"/>
      </w:tblGrid>
      <w:tr w:rsidR="00AF34FD" w:rsidRPr="00461731" w14:paraId="26919D3F" w14:textId="77777777" w:rsidTr="00D47561">
        <w:trPr>
          <w:jc w:val="center"/>
        </w:trPr>
        <w:tc>
          <w:tcPr>
            <w:tcW w:w="827" w:type="dxa"/>
            <w:tcBorders>
              <w:top w:val="single" w:sz="4" w:space="0" w:color="auto"/>
              <w:bottom w:val="single" w:sz="4" w:space="0" w:color="auto"/>
            </w:tcBorders>
          </w:tcPr>
          <w:p w14:paraId="5B10E458" w14:textId="77777777" w:rsidR="00AF34FD" w:rsidRPr="00461731" w:rsidRDefault="00AF34FD" w:rsidP="00D47561">
            <w:pPr>
              <w:suppressAutoHyphens/>
              <w:rPr>
                <w:rFonts w:eastAsia="Calibri" w:cs="Calibri"/>
                <w:sz w:val="18"/>
                <w:szCs w:val="18"/>
                <w:lang w:val="en-MY" w:eastAsia="en-US"/>
              </w:rPr>
            </w:pPr>
            <w:r w:rsidRPr="00461731">
              <w:rPr>
                <w:rFonts w:eastAsia="Calibri" w:cs="Calibri"/>
                <w:sz w:val="18"/>
                <w:szCs w:val="18"/>
                <w:lang w:val="en-MY" w:eastAsia="en-US"/>
              </w:rPr>
              <w:t>Muscle</w:t>
            </w:r>
          </w:p>
        </w:tc>
        <w:tc>
          <w:tcPr>
            <w:tcW w:w="968" w:type="dxa"/>
            <w:tcBorders>
              <w:top w:val="single" w:sz="4" w:space="0" w:color="auto"/>
              <w:bottom w:val="single" w:sz="4" w:space="0" w:color="auto"/>
            </w:tcBorders>
          </w:tcPr>
          <w:p w14:paraId="3214DA10"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Starting posture</w:t>
            </w:r>
          </w:p>
        </w:tc>
        <w:tc>
          <w:tcPr>
            <w:tcW w:w="1463" w:type="dxa"/>
            <w:tcBorders>
              <w:top w:val="single" w:sz="4" w:space="0" w:color="auto"/>
              <w:bottom w:val="single" w:sz="4" w:space="0" w:color="auto"/>
            </w:tcBorders>
          </w:tcPr>
          <w:p w14:paraId="64FE6656"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Electrode placement</w:t>
            </w:r>
          </w:p>
        </w:tc>
        <w:tc>
          <w:tcPr>
            <w:tcW w:w="2857" w:type="dxa"/>
            <w:tcBorders>
              <w:top w:val="single" w:sz="4" w:space="0" w:color="auto"/>
              <w:bottom w:val="single" w:sz="4" w:space="0" w:color="auto"/>
            </w:tcBorders>
          </w:tcPr>
          <w:p w14:paraId="0EA8D8DF"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Clinical test</w:t>
            </w:r>
          </w:p>
        </w:tc>
        <w:tc>
          <w:tcPr>
            <w:tcW w:w="1636" w:type="dxa"/>
            <w:tcBorders>
              <w:top w:val="single" w:sz="4" w:space="0" w:color="auto"/>
              <w:bottom w:val="single" w:sz="4" w:space="0" w:color="auto"/>
            </w:tcBorders>
          </w:tcPr>
          <w:p w14:paraId="7E949E80"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Orientation</w:t>
            </w:r>
          </w:p>
        </w:tc>
      </w:tr>
      <w:tr w:rsidR="00AF34FD" w:rsidRPr="00461731" w14:paraId="0204A26B" w14:textId="77777777" w:rsidTr="00D47561">
        <w:trPr>
          <w:jc w:val="center"/>
        </w:trPr>
        <w:tc>
          <w:tcPr>
            <w:tcW w:w="827" w:type="dxa"/>
            <w:tcBorders>
              <w:top w:val="single" w:sz="4" w:space="0" w:color="auto"/>
              <w:bottom w:val="single" w:sz="4" w:space="0" w:color="auto"/>
            </w:tcBorders>
          </w:tcPr>
          <w:p w14:paraId="3B4A4065" w14:textId="77777777" w:rsidR="00AF34FD" w:rsidRPr="00461731" w:rsidRDefault="00AF34FD" w:rsidP="00D47561">
            <w:pPr>
              <w:suppressAutoHyphens/>
              <w:rPr>
                <w:rFonts w:eastAsia="Calibri" w:cs="Calibri"/>
                <w:sz w:val="18"/>
                <w:szCs w:val="18"/>
                <w:lang w:val="en-MY" w:eastAsia="en-US"/>
              </w:rPr>
            </w:pPr>
            <w:r w:rsidRPr="00461731">
              <w:rPr>
                <w:rFonts w:eastAsia="Calibri" w:cs="Calibri"/>
                <w:sz w:val="18"/>
                <w:szCs w:val="18"/>
                <w:lang w:val="en-MY" w:eastAsia="en-US"/>
              </w:rPr>
              <w:t>TA</w:t>
            </w:r>
          </w:p>
        </w:tc>
        <w:tc>
          <w:tcPr>
            <w:tcW w:w="968" w:type="dxa"/>
            <w:tcBorders>
              <w:top w:val="single" w:sz="4" w:space="0" w:color="auto"/>
              <w:bottom w:val="single" w:sz="4" w:space="0" w:color="auto"/>
            </w:tcBorders>
          </w:tcPr>
          <w:p w14:paraId="2A95399C"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Supine or sitting</w:t>
            </w:r>
          </w:p>
        </w:tc>
        <w:tc>
          <w:tcPr>
            <w:tcW w:w="1463" w:type="dxa"/>
            <w:tcBorders>
              <w:top w:val="single" w:sz="4" w:space="0" w:color="auto"/>
              <w:bottom w:val="single" w:sz="4" w:space="0" w:color="auto"/>
            </w:tcBorders>
          </w:tcPr>
          <w:p w14:paraId="39CFE41F"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The electrodes need to be placed at 1/3 on the line between the tip of the fibula and the tip of the medial malleolus</w:t>
            </w:r>
          </w:p>
        </w:tc>
        <w:tc>
          <w:tcPr>
            <w:tcW w:w="2857" w:type="dxa"/>
            <w:tcBorders>
              <w:top w:val="single" w:sz="4" w:space="0" w:color="auto"/>
              <w:bottom w:val="single" w:sz="4" w:space="0" w:color="auto"/>
            </w:tcBorders>
          </w:tcPr>
          <w:p w14:paraId="776F59EB"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Support the leg just above the ankle joint with the ankle joint in dorsiflexion and the foot in inversion without extension of the great toe. Apply pressure against the medial side, dorsal surface of the foot in the direction of plantar flexion of the ankle joint and eversion of the foot.</w:t>
            </w:r>
          </w:p>
        </w:tc>
        <w:tc>
          <w:tcPr>
            <w:tcW w:w="1636" w:type="dxa"/>
            <w:tcBorders>
              <w:top w:val="single" w:sz="4" w:space="0" w:color="auto"/>
              <w:bottom w:val="single" w:sz="4" w:space="0" w:color="auto"/>
            </w:tcBorders>
          </w:tcPr>
          <w:p w14:paraId="05D9725A"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noProof/>
                <w:color w:val="00000A"/>
                <w:sz w:val="20"/>
                <w:szCs w:val="22"/>
                <w:lang w:val="en-MY" w:eastAsia="en-MY"/>
              </w:rPr>
              <mc:AlternateContent>
                <mc:Choice Requires="wps">
                  <w:drawing>
                    <wp:anchor distT="0" distB="0" distL="114300" distR="114300" simplePos="0" relativeHeight="251659264" behindDoc="0" locked="0" layoutInCell="1" allowOverlap="1" wp14:anchorId="312E390E" wp14:editId="554FACCB">
                      <wp:simplePos x="0" y="0"/>
                      <wp:positionH relativeFrom="column">
                        <wp:posOffset>553720</wp:posOffset>
                      </wp:positionH>
                      <wp:positionV relativeFrom="paragraph">
                        <wp:posOffset>423545</wp:posOffset>
                      </wp:positionV>
                      <wp:extent cx="135255" cy="103505"/>
                      <wp:effectExtent l="0" t="0" r="0" b="10795"/>
                      <wp:wrapNone/>
                      <wp:docPr id="30" name="Multiply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103505"/>
                              </a:xfrm>
                              <a:prstGeom prst="mathMultiply">
                                <a:avLst/>
                              </a:prstGeom>
                              <a:solidFill>
                                <a:srgbClr val="4F81BD"/>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3FE7B47" id="Multiply 30" o:spid="_x0000_s1026" style="position:absolute;margin-left:43.6pt;margin-top:33.35pt;width:10.6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525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" path="m25088,34526l39882,15193,67628,36425,95373,15193r14794,19333l87657,51753r22510,17226l95373,88312,67628,67080,39882,88312,25088,68979,47598,51753,25088,34526xe" fillcolor="#4f81bd" strokecolor="red" strokeweight="2pt">
                      <v:path arrowok="t" o:connecttype="custom" o:connectlocs="25088,34526;39882,15193;67628,36425;95373,15193;110167,34526;87657,51753;110167,68979;95373,88312;67628,67080;39882,88312;25088,68979;47598,51753;25088,34526" o:connectangles="0,0,0,0,0,0,0,0,0,0,0,0,0"/>
                    </v:shape>
                  </w:pict>
                </mc:Fallback>
              </mc:AlternateContent>
            </w:r>
            <w:r w:rsidRPr="00461731">
              <w:rPr>
                <w:rFonts w:eastAsia="Calibri" w:cs="Calibri"/>
                <w:noProof/>
                <w:color w:val="00000A"/>
                <w:sz w:val="20"/>
                <w:szCs w:val="22"/>
                <w:lang w:val="en-MY" w:eastAsia="en-MY"/>
              </w:rPr>
              <mc:AlternateContent>
                <mc:Choice Requires="wps">
                  <w:drawing>
                    <wp:anchor distT="0" distB="0" distL="114300" distR="114300" simplePos="0" relativeHeight="251657216" behindDoc="0" locked="0" layoutInCell="1" allowOverlap="1" wp14:anchorId="6CA4D85C" wp14:editId="0B0D41DA">
                      <wp:simplePos x="0" y="0"/>
                      <wp:positionH relativeFrom="column">
                        <wp:posOffset>605155</wp:posOffset>
                      </wp:positionH>
                      <wp:positionV relativeFrom="paragraph">
                        <wp:posOffset>445135</wp:posOffset>
                      </wp:positionV>
                      <wp:extent cx="45720" cy="45720"/>
                      <wp:effectExtent l="0" t="0" r="11430" b="1143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ellips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oval w14:anchorId="0E477DB5" id="Oval 29" o:spid="_x0000_s1026" style="position:absolute;margin-left:47.65pt;margin-top:35.05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" fillcolor="red" strokecolor="#385d8a" strokeweight="2pt">
                      <v:path arrowok="t"/>
                    </v:oval>
                  </w:pict>
                </mc:Fallback>
              </mc:AlternateContent>
            </w:r>
            <w:r w:rsidRPr="00461731">
              <w:rPr>
                <w:rFonts w:eastAsia="Calibri" w:cs="Calibri"/>
                <w:noProof/>
                <w:sz w:val="18"/>
                <w:szCs w:val="18"/>
                <w:lang w:val="en-MY" w:eastAsia="en-MY"/>
              </w:rPr>
              <w:drawing>
                <wp:inline distT="0" distB="0" distL="0" distR="0" wp14:anchorId="16A40890" wp14:editId="2DE930EA">
                  <wp:extent cx="988695" cy="988695"/>
                  <wp:effectExtent l="0" t="0" r="1905" b="1905"/>
                  <wp:docPr id="5" name="Picture 5" descr="http://www.seniam.org/images/SEMGlocations/LowerLegLoc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eniam.org/images/SEMGlocations/LowerLegLoc0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inline>
              </w:drawing>
            </w:r>
          </w:p>
        </w:tc>
      </w:tr>
    </w:tbl>
    <w:p w14:paraId="06D78D6F" w14:textId="77777777" w:rsidR="00AF34FD" w:rsidRPr="00461731" w:rsidRDefault="00AF34FD" w:rsidP="00AF34FD">
      <w:pPr>
        <w:jc w:val="both"/>
        <w:rPr>
          <w:sz w:val="20"/>
          <w:szCs w:val="20"/>
        </w:rPr>
      </w:pPr>
    </w:p>
    <w:p w14:paraId="16599566" w14:textId="77777777" w:rsidR="0032639E" w:rsidRDefault="0032639E" w:rsidP="00AF34FD">
      <w:pPr>
        <w:tabs>
          <w:tab w:val="right" w:pos="8640"/>
        </w:tabs>
        <w:ind w:firstLine="567"/>
        <w:jc w:val="both"/>
        <w:rPr>
          <w:rFonts w:eastAsia="Times New Roman"/>
          <w:sz w:val="20"/>
          <w:szCs w:val="20"/>
          <w:lang w:eastAsia="en-US"/>
        </w:rPr>
        <w:sectPr w:rsidR="0032639E" w:rsidSect="004E3A3D">
          <w:type w:val="continuous"/>
          <w:pgSz w:w="11906" w:h="16838"/>
          <w:pgMar w:top="1440" w:right="1440" w:bottom="1440" w:left="1440" w:header="708" w:footer="708" w:gutter="0"/>
          <w:cols w:space="708"/>
          <w:docGrid w:linePitch="360"/>
        </w:sectPr>
      </w:pPr>
    </w:p>
    <w:p w14:paraId="05C52BC3" w14:textId="77777777" w:rsidR="00AF34FD" w:rsidRPr="00461731" w:rsidRDefault="00AF34FD" w:rsidP="00AF34FD">
      <w:pPr>
        <w:tabs>
          <w:tab w:val="right" w:pos="8640"/>
        </w:tabs>
        <w:ind w:firstLine="567"/>
        <w:jc w:val="both"/>
        <w:rPr>
          <w:rFonts w:eastAsia="Times New Roman"/>
          <w:sz w:val="20"/>
          <w:szCs w:val="20"/>
          <w:lang w:eastAsia="en-US"/>
        </w:rPr>
      </w:pPr>
      <w:r w:rsidRPr="00461731">
        <w:rPr>
          <w:rFonts w:eastAsia="Times New Roman"/>
          <w:sz w:val="20"/>
          <w:szCs w:val="20"/>
          <w:lang w:eastAsia="en-US"/>
        </w:rPr>
        <w:t xml:space="preserve">In this study, three main actions of the accelerator pedal (half press=HP, release=R and full press=FP) were recorded as shown in Figure 3. </w:t>
      </w:r>
      <w:r w:rsidRPr="00461731">
        <w:rPr>
          <w:rFonts w:eastAsia="Times New Roman"/>
          <w:sz w:val="20"/>
          <w:szCs w:val="20"/>
          <w:lang w:eastAsia="en-US"/>
        </w:rPr>
        <w:t>Roughly, five seconds is taken for each pedal action. This study is conducted to investigate the reaction of the leg muscle while performing the HP, R and FP.</w:t>
      </w:r>
    </w:p>
    <w:p w14:paraId="782C8787" w14:textId="77777777" w:rsidR="0032639E" w:rsidRDefault="0032639E" w:rsidP="00AF34FD">
      <w:pPr>
        <w:tabs>
          <w:tab w:val="right" w:pos="8640"/>
        </w:tabs>
        <w:ind w:firstLine="720"/>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p w14:paraId="5F584AA1" w14:textId="77777777" w:rsidR="00AF34FD" w:rsidRPr="00461731" w:rsidRDefault="00AF34FD" w:rsidP="00AF34FD">
      <w:pPr>
        <w:tabs>
          <w:tab w:val="right" w:pos="8640"/>
        </w:tabs>
        <w:ind w:firstLine="720"/>
        <w:rPr>
          <w:rFonts w:eastAsia="Times New Roman"/>
          <w:sz w:val="20"/>
          <w:szCs w:val="20"/>
          <w:lang w:eastAsia="en-US"/>
        </w:rPr>
      </w:pPr>
    </w:p>
    <w:p w14:paraId="5933D907" w14:textId="77777777" w:rsidR="00AF34FD" w:rsidRPr="00461731" w:rsidRDefault="00AF34FD" w:rsidP="00AF34FD">
      <w:pPr>
        <w:tabs>
          <w:tab w:val="right" w:pos="8640"/>
        </w:tabs>
        <w:ind w:firstLine="720"/>
        <w:jc w:val="center"/>
        <w:rPr>
          <w:rFonts w:eastAsia="Times New Roman"/>
          <w:sz w:val="20"/>
          <w:szCs w:val="20"/>
          <w:lang w:eastAsia="en-US"/>
        </w:rPr>
      </w:pPr>
      <w:r w:rsidRPr="00461731">
        <w:rPr>
          <w:rFonts w:eastAsia="Times New Roman"/>
          <w:noProof/>
          <w:sz w:val="20"/>
          <w:szCs w:val="20"/>
          <w:lang w:val="en-MY" w:eastAsia="en-MY"/>
        </w:rPr>
        <w:drawing>
          <wp:inline distT="0" distB="0" distL="0" distR="0" wp14:anchorId="6606481D" wp14:editId="1A0968D7">
            <wp:extent cx="4391025" cy="363855"/>
            <wp:effectExtent l="0" t="0" r="9525" b="17145"/>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519D9E1" w14:textId="77777777" w:rsidR="00AF34FD" w:rsidRPr="00461731" w:rsidRDefault="00AF34FD" w:rsidP="00AF34FD">
      <w:pPr>
        <w:tabs>
          <w:tab w:val="right" w:pos="8640"/>
        </w:tabs>
        <w:ind w:firstLine="720"/>
        <w:jc w:val="center"/>
        <w:rPr>
          <w:rFonts w:eastAsia="Times New Roman"/>
          <w:sz w:val="20"/>
          <w:szCs w:val="20"/>
          <w:lang w:eastAsia="en-US"/>
        </w:rPr>
      </w:pPr>
    </w:p>
    <w:p w14:paraId="3BC85BA3" w14:textId="77777777" w:rsidR="00AF34FD" w:rsidRPr="00461731" w:rsidRDefault="00AF34FD" w:rsidP="00AF34FD">
      <w:pPr>
        <w:tabs>
          <w:tab w:val="right" w:pos="8640"/>
        </w:tabs>
        <w:ind w:firstLine="720"/>
        <w:jc w:val="center"/>
        <w:rPr>
          <w:rFonts w:eastAsia="Times New Roman"/>
          <w:sz w:val="18"/>
          <w:szCs w:val="18"/>
          <w:lang w:eastAsia="en-US"/>
        </w:rPr>
      </w:pPr>
      <w:r w:rsidRPr="00461731">
        <w:rPr>
          <w:rFonts w:eastAsia="Times New Roman"/>
          <w:sz w:val="18"/>
          <w:szCs w:val="18"/>
          <w:lang w:eastAsia="en-US"/>
        </w:rPr>
        <w:t>FIGURE 3. Main actions in accelerator pedal</w:t>
      </w:r>
    </w:p>
    <w:p w14:paraId="10706053" w14:textId="77777777" w:rsidR="00AF34FD" w:rsidRPr="00461731" w:rsidRDefault="00AF34FD" w:rsidP="00AF34FD">
      <w:pPr>
        <w:jc w:val="center"/>
        <w:rPr>
          <w:sz w:val="18"/>
          <w:szCs w:val="18"/>
        </w:rPr>
      </w:pPr>
    </w:p>
    <w:p w14:paraId="422BF70A" w14:textId="77777777" w:rsidR="0032639E" w:rsidRDefault="0032639E" w:rsidP="00AF34FD">
      <w:pPr>
        <w:jc w:val="center"/>
        <w:rPr>
          <w:sz w:val="16"/>
          <w:szCs w:val="16"/>
        </w:rPr>
        <w:sectPr w:rsidR="0032639E" w:rsidSect="004E3A3D">
          <w:type w:val="continuous"/>
          <w:pgSz w:w="11906" w:h="16838"/>
          <w:pgMar w:top="1440" w:right="1440" w:bottom="1440" w:left="1440" w:header="708" w:footer="708" w:gutter="0"/>
          <w:cols w:space="708"/>
          <w:docGrid w:linePitch="360"/>
        </w:sectPr>
      </w:pPr>
    </w:p>
    <w:p w14:paraId="2BB11EE3" w14:textId="12B1240F" w:rsidR="00AF34FD" w:rsidRPr="008F4700" w:rsidRDefault="008F4700" w:rsidP="00AF34FD">
      <w:pPr>
        <w:jc w:val="center"/>
        <w:rPr>
          <w:sz w:val="20"/>
          <w:szCs w:val="20"/>
        </w:rPr>
      </w:pPr>
      <w:r w:rsidRPr="008F4700">
        <w:rPr>
          <w:sz w:val="20"/>
          <w:szCs w:val="20"/>
        </w:rPr>
        <w:t>SEMG DATA ANALYSIS</w:t>
      </w:r>
    </w:p>
    <w:p w14:paraId="44FAC5A7" w14:textId="77777777" w:rsidR="00AF34FD" w:rsidRPr="0032639E" w:rsidRDefault="00AF34FD" w:rsidP="00AF34FD">
      <w:pPr>
        <w:rPr>
          <w:rFonts w:eastAsia="Times New Roman"/>
          <w:sz w:val="16"/>
          <w:szCs w:val="16"/>
          <w:lang w:eastAsia="en-US"/>
        </w:rPr>
      </w:pPr>
    </w:p>
    <w:p w14:paraId="637D73AE" w14:textId="77777777" w:rsidR="00AF34FD" w:rsidRPr="00461731" w:rsidRDefault="00AF34FD" w:rsidP="00AF34FD">
      <w:pPr>
        <w:jc w:val="both"/>
        <w:rPr>
          <w:sz w:val="20"/>
          <w:szCs w:val="20"/>
        </w:rPr>
      </w:pPr>
      <w:r w:rsidRPr="00461731">
        <w:rPr>
          <w:sz w:val="20"/>
          <w:szCs w:val="20"/>
        </w:rPr>
        <w:t xml:space="preserve">Figure 4 shows the flow chart of SEMG data analysis. In this study, the signal processing of the SEMG data was not conducted by using </w:t>
      </w:r>
      <w:proofErr w:type="spellStart"/>
      <w:r w:rsidRPr="00461731">
        <w:rPr>
          <w:sz w:val="20"/>
          <w:szCs w:val="20"/>
        </w:rPr>
        <w:t>Delsys</w:t>
      </w:r>
      <w:proofErr w:type="spellEnd"/>
      <w:r w:rsidRPr="00461731">
        <w:rPr>
          <w:sz w:val="20"/>
          <w:szCs w:val="20"/>
        </w:rPr>
        <w:t xml:space="preserve"> software. However, Matlab and Microsoft Excel software are two main operators in processing and analysing EMG data in this study. Before starting the experiment, the signal from the selected muscle should be tested to determine whether the muscle is working properly according to the driving activity.  The muscle signal is displayed in the </w:t>
      </w:r>
      <w:proofErr w:type="spellStart"/>
      <w:r w:rsidRPr="00461731">
        <w:rPr>
          <w:sz w:val="20"/>
          <w:szCs w:val="20"/>
        </w:rPr>
        <w:t>Delsys</w:t>
      </w:r>
      <w:proofErr w:type="spellEnd"/>
      <w:r w:rsidRPr="00461731">
        <w:rPr>
          <w:sz w:val="20"/>
          <w:szCs w:val="20"/>
        </w:rPr>
        <w:t xml:space="preserve"> </w:t>
      </w:r>
      <w:proofErr w:type="spellStart"/>
      <w:r w:rsidRPr="00461731">
        <w:rPr>
          <w:sz w:val="20"/>
          <w:szCs w:val="20"/>
        </w:rPr>
        <w:t>EMGworks</w:t>
      </w:r>
      <w:proofErr w:type="spellEnd"/>
      <w:r w:rsidRPr="00461731">
        <w:rPr>
          <w:sz w:val="20"/>
          <w:szCs w:val="20"/>
        </w:rPr>
        <w:t xml:space="preserve"> Acquisition software. If the muscle works as predicted, then, the experiment can be started. All raw data from the </w:t>
      </w:r>
      <w:proofErr w:type="spellStart"/>
      <w:r w:rsidRPr="00461731">
        <w:rPr>
          <w:sz w:val="20"/>
          <w:szCs w:val="20"/>
        </w:rPr>
        <w:t>Delsys</w:t>
      </w:r>
      <w:proofErr w:type="spellEnd"/>
      <w:r w:rsidRPr="00461731">
        <w:rPr>
          <w:sz w:val="20"/>
          <w:szCs w:val="20"/>
        </w:rPr>
        <w:t xml:space="preserve"> software are in the form ASCII file. These file need to be transferred to the Matlab software for further analysis as shown in Figure 4. All raw data need to be filtered by using three different frequencies, high pass, notch and low pass. Then, Root Mean Square (RMS) value will be produced based on percentage of Maximal Voluntary Contraction (%MVIC). All data should be </w:t>
      </w:r>
      <w:proofErr w:type="spellStart"/>
      <w:r w:rsidRPr="00461731">
        <w:rPr>
          <w:sz w:val="20"/>
          <w:szCs w:val="20"/>
        </w:rPr>
        <w:t>epoched</w:t>
      </w:r>
      <w:proofErr w:type="spellEnd"/>
      <w:r w:rsidRPr="00461731">
        <w:rPr>
          <w:sz w:val="20"/>
          <w:szCs w:val="20"/>
        </w:rPr>
        <w:t xml:space="preserve"> before comparison based on the %MVIC can be made. </w:t>
      </w:r>
    </w:p>
    <w:p w14:paraId="5ECBB625" w14:textId="77777777" w:rsidR="0032639E" w:rsidRDefault="0032639E" w:rsidP="00AF34FD">
      <w:pPr>
        <w:jc w:val="both"/>
        <w:rPr>
          <w:sz w:val="20"/>
          <w:szCs w:val="20"/>
        </w:rPr>
        <w:sectPr w:rsidR="0032639E" w:rsidSect="0032639E">
          <w:type w:val="continuous"/>
          <w:pgSz w:w="11906" w:h="16838"/>
          <w:pgMar w:top="1440" w:right="1440" w:bottom="1440" w:left="1440" w:header="708" w:footer="708" w:gutter="0"/>
          <w:cols w:num="2" w:space="708"/>
          <w:docGrid w:linePitch="360"/>
        </w:sectPr>
      </w:pPr>
    </w:p>
    <w:p w14:paraId="4817A4C6" w14:textId="77777777" w:rsidR="00AF34FD" w:rsidRDefault="00AF34FD" w:rsidP="00AF34FD">
      <w:pPr>
        <w:tabs>
          <w:tab w:val="right" w:pos="8640"/>
        </w:tabs>
        <w:spacing w:line="480" w:lineRule="auto"/>
        <w:ind w:firstLine="720"/>
        <w:jc w:val="center"/>
        <w:rPr>
          <w:rFonts w:eastAsia="Times New Roman"/>
          <w:noProof/>
          <w:lang w:val="en-MY" w:eastAsia="en-MY"/>
        </w:rPr>
      </w:pPr>
    </w:p>
    <w:p w14:paraId="4E191905" w14:textId="77777777" w:rsidR="00181530" w:rsidRPr="00461731" w:rsidRDefault="00181530" w:rsidP="00AF34FD">
      <w:pPr>
        <w:tabs>
          <w:tab w:val="right" w:pos="8640"/>
        </w:tabs>
        <w:spacing w:line="480" w:lineRule="auto"/>
        <w:ind w:firstLine="720"/>
        <w:jc w:val="center"/>
        <w:rPr>
          <w:rFonts w:eastAsia="Times New Roman"/>
          <w:lang w:eastAsia="en-US"/>
        </w:rPr>
      </w:pPr>
      <w:r w:rsidRPr="00461731">
        <w:rPr>
          <w:rFonts w:eastAsia="Times New Roman"/>
          <w:noProof/>
          <w:lang w:val="en-MY" w:eastAsia="en-MY"/>
        </w:rPr>
        <w:drawing>
          <wp:inline distT="0" distB="0" distL="0" distR="0" wp14:anchorId="7607AD95" wp14:editId="2F9D1C71">
            <wp:extent cx="3830129" cy="274100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36942" cy="2745880"/>
                    </a:xfrm>
                    <a:prstGeom prst="rect">
                      <a:avLst/>
                    </a:prstGeom>
                    <a:noFill/>
                  </pic:spPr>
                </pic:pic>
              </a:graphicData>
            </a:graphic>
          </wp:inline>
        </w:drawing>
      </w:r>
    </w:p>
    <w:p w14:paraId="33E1AD88" w14:textId="77777777" w:rsidR="00AF34FD" w:rsidRPr="00461731" w:rsidRDefault="00AF34FD" w:rsidP="00AF34FD">
      <w:pPr>
        <w:suppressAutoHyphens/>
        <w:jc w:val="center"/>
        <w:rPr>
          <w:rFonts w:eastAsia="Calibri" w:cs="Calibri"/>
          <w:color w:val="00000A"/>
          <w:sz w:val="18"/>
          <w:szCs w:val="18"/>
          <w:lang w:val="en-MY" w:eastAsia="en-US"/>
        </w:rPr>
      </w:pPr>
      <w:r w:rsidRPr="00461731">
        <w:rPr>
          <w:rFonts w:eastAsia="Calibri" w:cs="Calibri"/>
          <w:sz w:val="18"/>
          <w:szCs w:val="18"/>
          <w:lang w:val="en-MY" w:eastAsia="en-US"/>
        </w:rPr>
        <w:t>FIGURE 4.</w:t>
      </w:r>
      <w:r>
        <w:rPr>
          <w:rFonts w:eastAsia="Calibri" w:cs="Calibri"/>
          <w:sz w:val="18"/>
          <w:szCs w:val="18"/>
          <w:lang w:val="en-MY" w:eastAsia="en-US"/>
        </w:rPr>
        <w:t xml:space="preserve"> </w:t>
      </w:r>
      <w:r w:rsidRPr="00461731">
        <w:rPr>
          <w:rFonts w:eastAsia="Calibri" w:cs="Calibri"/>
          <w:sz w:val="18"/>
          <w:szCs w:val="18"/>
          <w:lang w:val="en-MY" w:eastAsia="en-US"/>
        </w:rPr>
        <w:t>Flow chart of SEMG data analysis</w:t>
      </w:r>
    </w:p>
    <w:p w14:paraId="73CB16A4" w14:textId="77777777" w:rsidR="0032639E" w:rsidRDefault="0032639E" w:rsidP="00AF34FD">
      <w:pPr>
        <w:tabs>
          <w:tab w:val="right" w:pos="8640"/>
        </w:tabs>
        <w:ind w:firstLine="567"/>
        <w:jc w:val="both"/>
        <w:rPr>
          <w:rFonts w:eastAsia="Times New Roman"/>
          <w:sz w:val="20"/>
          <w:szCs w:val="20"/>
          <w:lang w:eastAsia="en-US"/>
        </w:rPr>
      </w:pPr>
    </w:p>
    <w:p w14:paraId="5130826B" w14:textId="77777777" w:rsidR="00544ABF" w:rsidRDefault="00544ABF" w:rsidP="00AF34FD">
      <w:pPr>
        <w:tabs>
          <w:tab w:val="right" w:pos="8640"/>
        </w:tabs>
        <w:ind w:firstLine="567"/>
        <w:jc w:val="both"/>
        <w:rPr>
          <w:rFonts w:eastAsia="Times New Roman"/>
          <w:sz w:val="20"/>
          <w:szCs w:val="20"/>
          <w:lang w:eastAsia="en-US"/>
        </w:rPr>
        <w:sectPr w:rsidR="00544ABF" w:rsidSect="004E3A3D">
          <w:type w:val="continuous"/>
          <w:pgSz w:w="11906" w:h="16838"/>
          <w:pgMar w:top="1440" w:right="1440" w:bottom="1440" w:left="1440" w:header="708" w:footer="708" w:gutter="0"/>
          <w:cols w:space="708"/>
          <w:docGrid w:linePitch="360"/>
        </w:sectPr>
      </w:pPr>
    </w:p>
    <w:p w14:paraId="49947B6D" w14:textId="77777777" w:rsidR="009A017A" w:rsidRDefault="009A017A" w:rsidP="00AF34FD">
      <w:pPr>
        <w:tabs>
          <w:tab w:val="right" w:pos="8640"/>
        </w:tabs>
        <w:ind w:firstLine="567"/>
        <w:jc w:val="both"/>
        <w:rPr>
          <w:rFonts w:eastAsia="Times New Roman"/>
          <w:sz w:val="20"/>
          <w:szCs w:val="20"/>
          <w:lang w:eastAsia="en-US"/>
        </w:rPr>
      </w:pPr>
    </w:p>
    <w:p w14:paraId="735FFCFE" w14:textId="77777777" w:rsidR="009A017A" w:rsidRDefault="009A017A" w:rsidP="00AF34FD">
      <w:pPr>
        <w:tabs>
          <w:tab w:val="right" w:pos="8640"/>
        </w:tabs>
        <w:ind w:firstLine="567"/>
        <w:jc w:val="both"/>
        <w:rPr>
          <w:rFonts w:eastAsia="Times New Roman"/>
          <w:sz w:val="20"/>
          <w:szCs w:val="20"/>
          <w:lang w:eastAsia="en-US"/>
        </w:rPr>
      </w:pPr>
    </w:p>
    <w:p w14:paraId="09943923" w14:textId="77777777" w:rsidR="009A017A" w:rsidRDefault="009A017A" w:rsidP="00AF34FD">
      <w:pPr>
        <w:tabs>
          <w:tab w:val="right" w:pos="8640"/>
        </w:tabs>
        <w:ind w:firstLine="567"/>
        <w:jc w:val="both"/>
        <w:rPr>
          <w:rFonts w:eastAsia="Times New Roman"/>
          <w:sz w:val="20"/>
          <w:szCs w:val="20"/>
          <w:lang w:eastAsia="en-US"/>
        </w:rPr>
      </w:pPr>
    </w:p>
    <w:p w14:paraId="4D0831FD" w14:textId="4479A3F8" w:rsidR="00AF34FD" w:rsidRPr="00461731" w:rsidRDefault="00AF34FD" w:rsidP="00AF34FD">
      <w:pPr>
        <w:tabs>
          <w:tab w:val="right" w:pos="8640"/>
        </w:tabs>
        <w:ind w:firstLine="567"/>
        <w:jc w:val="both"/>
        <w:rPr>
          <w:rFonts w:eastAsia="Times New Roman"/>
          <w:sz w:val="20"/>
          <w:szCs w:val="20"/>
          <w:lang w:eastAsia="en-US"/>
        </w:rPr>
      </w:pPr>
      <w:r w:rsidRPr="00461731">
        <w:rPr>
          <w:rFonts w:eastAsia="Times New Roman"/>
          <w:sz w:val="20"/>
          <w:szCs w:val="20"/>
          <w:lang w:eastAsia="en-US"/>
        </w:rPr>
        <w:lastRenderedPageBreak/>
        <w:t>In short, there are two types of analysis were performed in this study, Temporal and Amplitude Analysis. Temporal Analysis was conducted to investigate the pattern of the muscle activity based on the pedal actions. Meanwhile, the Amplitude Analysis was carried out to determine muscle activity according to driving condition, either in contraction form or rest form. The value of muscle activity is in RMS. If the RMS of muscle activity below than 5 microvolt (</w:t>
      </w:r>
      <w:proofErr w:type="spellStart"/>
      <w:r w:rsidRPr="00461731">
        <w:rPr>
          <w:rFonts w:eastAsia="Times New Roman"/>
          <w:sz w:val="20"/>
          <w:szCs w:val="20"/>
          <w:lang w:eastAsia="en-US"/>
        </w:rPr>
        <w:t>μV</w:t>
      </w:r>
      <w:proofErr w:type="spellEnd"/>
      <w:r w:rsidRPr="00461731">
        <w:rPr>
          <w:rFonts w:eastAsia="Times New Roman"/>
          <w:sz w:val="20"/>
          <w:szCs w:val="20"/>
          <w:lang w:eastAsia="en-US"/>
        </w:rPr>
        <w:t xml:space="preserve">), it means the muscle is in the rest form (Florimond 2009). Basically, the Amplitude Analysis was performed at time domain and the amplitude unit is in </w:t>
      </w:r>
      <w:proofErr w:type="spellStart"/>
      <w:r w:rsidRPr="00461731">
        <w:rPr>
          <w:rFonts w:eastAsia="Times New Roman"/>
          <w:sz w:val="20"/>
          <w:szCs w:val="20"/>
          <w:lang w:eastAsia="en-US"/>
        </w:rPr>
        <w:t>μV</w:t>
      </w:r>
      <w:proofErr w:type="spellEnd"/>
      <w:r w:rsidRPr="00461731">
        <w:rPr>
          <w:rFonts w:eastAsia="Times New Roman"/>
          <w:sz w:val="20"/>
          <w:szCs w:val="20"/>
          <w:lang w:eastAsia="en-US"/>
        </w:rPr>
        <w:t>. Amplitude analysis was conducted at the stipulated epoch. The RMS equation in discrete time is defined in Equation (1), where N is the number of data and n is the SEMG data.</w:t>
      </w:r>
    </w:p>
    <w:p w14:paraId="4E729F0F" w14:textId="77777777" w:rsidR="00AF34FD" w:rsidRPr="00461731" w:rsidRDefault="00AF34FD" w:rsidP="00AF34FD">
      <w:pPr>
        <w:ind w:firstLine="720"/>
        <w:jc w:val="both"/>
        <w:rPr>
          <w:sz w:val="20"/>
          <w:szCs w:val="20"/>
        </w:rPr>
      </w:pPr>
      <w:r w:rsidRPr="00461731">
        <w:rPr>
          <w:sz w:val="20"/>
          <w:szCs w:val="20"/>
        </w:rPr>
        <w:fldChar w:fldCharType="begin"/>
      </w:r>
      <w:r w:rsidRPr="00461731">
        <w:rPr>
          <w:sz w:val="20"/>
          <w:szCs w:val="20"/>
        </w:rPr>
        <w:instrText xml:space="preserve"> QUOTE </w:instrText>
      </w:r>
      <w:r w:rsidRPr="00461731">
        <w:rPr>
          <w:kern w:val="2"/>
          <w:sz w:val="20"/>
          <w:szCs w:val="20"/>
        </w:rPr>
        <w:instrText>R.M.S=</w:instrText>
      </w:r>
      <w:r w:rsidRPr="00461731">
        <w:rPr>
          <w:rFonts w:ascii="Cambria Math" w:hAnsi="Cambria Math"/>
          <w:kern w:val="2"/>
          <w:sz w:val="20"/>
          <w:szCs w:val="20"/>
        </w:rPr>
        <w:instrText>1N</w:instrText>
      </w:r>
      <w:r w:rsidRPr="00461731">
        <w:rPr>
          <w:rFonts w:ascii="Cambria Math" w:eastAsia="Cambria Math" w:hAnsi="Cambria Math"/>
          <w:kern w:val="2"/>
          <w:sz w:val="20"/>
          <w:szCs w:val="20"/>
        </w:rPr>
        <w:instrText>n=1n</w:instrText>
      </w:r>
      <w:r w:rsidRPr="00461731">
        <w:rPr>
          <w:rFonts w:ascii="Cambria Math" w:hAnsi="Cambria Math"/>
          <w:kern w:val="2"/>
          <w:sz w:val="20"/>
          <w:szCs w:val="20"/>
        </w:rPr>
        <w:instrText xml:space="preserve">EMG[n]2 </w:instrText>
      </w:r>
      <w:r w:rsidRPr="00461731">
        <w:rPr>
          <w:sz w:val="20"/>
          <w:szCs w:val="20"/>
        </w:rPr>
        <w:instrText xml:space="preserve"> </w:instrText>
      </w:r>
      <w:r w:rsidRPr="00461731">
        <w:rPr>
          <w:sz w:val="20"/>
          <w:szCs w:val="20"/>
        </w:rPr>
        <w:fldChar w:fldCharType="end"/>
      </w:r>
      <w:r w:rsidRPr="00461731">
        <w:rPr>
          <w:sz w:val="20"/>
          <w:szCs w:val="20"/>
        </w:rPr>
        <w:tab/>
      </w:r>
    </w:p>
    <w:p w14:paraId="1E4CEEB9" w14:textId="77777777" w:rsidR="00AF34FD" w:rsidRPr="00461731" w:rsidRDefault="00AF34FD" w:rsidP="0032639E">
      <w:pPr>
        <w:jc w:val="both"/>
        <w:rPr>
          <w:sz w:val="20"/>
          <w:szCs w:val="20"/>
        </w:rPr>
      </w:pPr>
      <m:oMath>
        <m:r>
          <w:rPr>
            <w:rFonts w:ascii="Cambria Math" w:hAnsi="Cambria Math"/>
          </w:rPr>
          <m:t>R.M.S=</m:t>
        </m:r>
        <m:rad>
          <m:radPr>
            <m:degHide m:val="1"/>
            <m:ctrlPr>
              <w:rPr>
                <w:rFonts w:ascii="Cambria Math" w:hAnsi="Cambria Math"/>
                <w:i/>
              </w:rPr>
            </m:ctrlPr>
          </m:radPr>
          <m:deg/>
          <m:e>
            <m:f>
              <m:fPr>
                <m:ctrlPr>
                  <w:rPr>
                    <w:rFonts w:ascii="Cambria Math" w:hAnsi="Cambria Math"/>
                  </w:rPr>
                </m:ctrlPr>
              </m:fPr>
              <m:num>
                <m:r>
                  <w:rPr>
                    <w:rFonts w:ascii="Cambria Math" w:hAnsi="Cambria Math"/>
                  </w:rPr>
                  <m:t>1</m:t>
                </m:r>
              </m:num>
              <m:den>
                <m:r>
                  <w:rPr>
                    <w:rFonts w:ascii="Cambria Math" w:hAnsi="Cambria Math"/>
                  </w:rPr>
                  <m:t>N</m:t>
                </m:r>
              </m:den>
            </m:f>
            <m:nary>
              <m:naryPr>
                <m:chr m:val="∑"/>
                <m:grow m:val="1"/>
                <m:ctrlPr>
                  <w:rPr>
                    <w:rFonts w:ascii="Cambria Math" w:hAnsi="Cambria Math"/>
                  </w:rPr>
                </m:ctrlPr>
              </m:naryPr>
              <m:sub>
                <m:r>
                  <w:rPr>
                    <w:rFonts w:ascii="Cambria Math" w:hAnsi="Cambria Math"/>
                  </w:rPr>
                  <m:t>n=1</m:t>
                </m:r>
              </m:sub>
              <m:sup>
                <m:r>
                  <w:rPr>
                    <w:rFonts w:ascii="Cambria Math" w:hAnsi="Cambria Math"/>
                  </w:rPr>
                  <m:t>n</m:t>
                </m:r>
              </m:sup>
              <m:e>
                <m:r>
                  <w:rPr>
                    <w:rFonts w:ascii="Cambria Math" w:hAnsi="Cambria Math"/>
                  </w:rPr>
                  <m:t>EMG</m:t>
                </m:r>
              </m:e>
            </m:nary>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 xml:space="preserve"> </m:t>
            </m:r>
          </m:e>
        </m:rad>
      </m:oMath>
      <w:r w:rsidRPr="00461731">
        <w:rPr>
          <w:sz w:val="20"/>
          <w:szCs w:val="20"/>
        </w:rPr>
        <w:t xml:space="preserve">           </w:t>
      </w:r>
      <w:r w:rsidRPr="00461731">
        <w:rPr>
          <w:sz w:val="20"/>
          <w:szCs w:val="20"/>
        </w:rPr>
        <w:tab/>
        <w:t>(1)</w:t>
      </w:r>
    </w:p>
    <w:p w14:paraId="086EF4BF" w14:textId="77777777" w:rsidR="00AF34FD" w:rsidRPr="00461731" w:rsidRDefault="00AF34FD" w:rsidP="00AF34FD">
      <w:pPr>
        <w:tabs>
          <w:tab w:val="right" w:pos="8640"/>
        </w:tabs>
        <w:contextualSpacing/>
        <w:jc w:val="center"/>
        <w:rPr>
          <w:rFonts w:eastAsia="Times New Roman"/>
          <w:lang w:eastAsia="en-US"/>
        </w:rPr>
      </w:pPr>
    </w:p>
    <w:p w14:paraId="23AFE615" w14:textId="77777777" w:rsidR="00544ABF" w:rsidRDefault="00544ABF" w:rsidP="00AF34FD">
      <w:pPr>
        <w:tabs>
          <w:tab w:val="right" w:pos="8640"/>
        </w:tabs>
        <w:contextualSpacing/>
        <w:jc w:val="center"/>
        <w:rPr>
          <w:rFonts w:eastAsia="Times New Roman"/>
          <w:sz w:val="16"/>
          <w:szCs w:val="16"/>
          <w:lang w:eastAsia="en-US"/>
        </w:rPr>
      </w:pPr>
    </w:p>
    <w:p w14:paraId="2E1A6AED" w14:textId="77777777" w:rsidR="00AF34FD" w:rsidRPr="008F4700" w:rsidRDefault="00AF34FD" w:rsidP="00AF34FD">
      <w:pPr>
        <w:tabs>
          <w:tab w:val="right" w:pos="8640"/>
        </w:tabs>
        <w:contextualSpacing/>
        <w:jc w:val="center"/>
        <w:rPr>
          <w:rFonts w:eastAsia="Times New Roman"/>
          <w:lang w:eastAsia="en-US"/>
        </w:rPr>
      </w:pPr>
      <w:r w:rsidRPr="008F4700">
        <w:rPr>
          <w:rFonts w:eastAsia="Times New Roman"/>
          <w:lang w:eastAsia="en-US"/>
        </w:rPr>
        <w:t>RESULTS</w:t>
      </w:r>
      <w:r w:rsidR="00943793" w:rsidRPr="008F4700">
        <w:rPr>
          <w:rFonts w:eastAsia="Times New Roman"/>
          <w:lang w:eastAsia="en-US"/>
        </w:rPr>
        <w:t xml:space="preserve"> AND DISCUSSION</w:t>
      </w:r>
    </w:p>
    <w:p w14:paraId="4684E1E2" w14:textId="7B0DA2EB" w:rsidR="00AF34FD" w:rsidRPr="008F4700" w:rsidRDefault="008F4700" w:rsidP="00AF34FD">
      <w:pPr>
        <w:keepNext/>
        <w:spacing w:before="240" w:after="60"/>
        <w:jc w:val="center"/>
        <w:outlineLvl w:val="1"/>
        <w:rPr>
          <w:bCs/>
          <w:iCs/>
          <w:sz w:val="20"/>
          <w:szCs w:val="20"/>
        </w:rPr>
      </w:pPr>
      <w:r w:rsidRPr="008F4700">
        <w:rPr>
          <w:bCs/>
          <w:iCs/>
          <w:sz w:val="20"/>
          <w:szCs w:val="20"/>
        </w:rPr>
        <w:t>TEMPORAL ANALYSIS</w:t>
      </w:r>
    </w:p>
    <w:p w14:paraId="72DA887E" w14:textId="77777777" w:rsidR="00AF34FD" w:rsidRPr="00461731" w:rsidRDefault="00AF34FD" w:rsidP="00AF34FD"/>
    <w:p w14:paraId="44B35178"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Figure 5 shows the example of Temporal Analysis for the TA.  According to Figure 5, it is obvious that the TA is highly activated in releasing pedal position. Detailed analysis on this finding is performed using statistical analysis to determine the association between each parameter. </w:t>
      </w:r>
    </w:p>
    <w:p w14:paraId="2E4940A3" w14:textId="77777777" w:rsidR="0032639E" w:rsidRDefault="0032639E" w:rsidP="00AF34FD">
      <w:pPr>
        <w:jc w:val="both"/>
        <w:rPr>
          <w:rFonts w:eastAsia="Times New Roman"/>
          <w:lang w:eastAsia="en-US"/>
        </w:rPr>
        <w:sectPr w:rsidR="0032639E" w:rsidSect="0032639E">
          <w:type w:val="continuous"/>
          <w:pgSz w:w="11906" w:h="16838"/>
          <w:pgMar w:top="1440" w:right="1440" w:bottom="1440" w:left="1440" w:header="708" w:footer="708" w:gutter="0"/>
          <w:cols w:num="2" w:space="708"/>
          <w:docGrid w:linePitch="360"/>
        </w:sectPr>
      </w:pPr>
    </w:p>
    <w:p w14:paraId="4B417119" w14:textId="77777777" w:rsidR="00AF34FD" w:rsidRPr="00461731" w:rsidRDefault="00AF34FD" w:rsidP="00AF34FD">
      <w:pPr>
        <w:jc w:val="both"/>
        <w:rPr>
          <w:rFonts w:eastAsia="Times New Roman"/>
          <w:lang w:eastAsia="en-US"/>
        </w:rPr>
      </w:pPr>
    </w:p>
    <w:p w14:paraId="289CBBA7" w14:textId="77777777" w:rsidR="00AF34FD" w:rsidRPr="00461731" w:rsidRDefault="00AF34FD" w:rsidP="00AF34FD">
      <w:pPr>
        <w:tabs>
          <w:tab w:val="right" w:pos="8640"/>
        </w:tabs>
        <w:spacing w:line="480" w:lineRule="auto"/>
        <w:ind w:firstLine="720"/>
        <w:jc w:val="center"/>
        <w:rPr>
          <w:rFonts w:eastAsia="Times New Roman"/>
          <w:sz w:val="20"/>
          <w:szCs w:val="20"/>
          <w:lang w:eastAsia="en-US"/>
        </w:rPr>
      </w:pPr>
      <w:r w:rsidRPr="00461731">
        <w:rPr>
          <w:rFonts w:eastAsia="Times New Roman"/>
          <w:noProof/>
          <w:sz w:val="20"/>
          <w:szCs w:val="20"/>
          <w:lang w:val="en-MY" w:eastAsia="en-MY"/>
        </w:rPr>
        <w:drawing>
          <wp:inline distT="0" distB="0" distL="0" distR="0" wp14:anchorId="209F76C3" wp14:editId="209BD508">
            <wp:extent cx="5390515" cy="1510030"/>
            <wp:effectExtent l="19050" t="19050" r="19685"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1">
                      <a:extLst>
                        <a:ext uri="{28A0092B-C50C-407E-A947-70E740481C1C}">
                          <a14:useLocalDpi xmlns:a14="http://schemas.microsoft.com/office/drawing/2010/main" val="0"/>
                        </a:ext>
                      </a:extLst>
                    </a:blip>
                    <a:srcRect l="25624" t="39293" r="30617" b="45316"/>
                    <a:stretch>
                      <a:fillRect/>
                    </a:stretch>
                  </pic:blipFill>
                  <pic:spPr bwMode="auto">
                    <a:xfrm>
                      <a:off x="0" y="0"/>
                      <a:ext cx="5390515" cy="1510030"/>
                    </a:xfrm>
                    <a:prstGeom prst="rect">
                      <a:avLst/>
                    </a:prstGeom>
                    <a:noFill/>
                    <a:ln w="9525" cmpd="sng">
                      <a:solidFill>
                        <a:srgbClr val="000000"/>
                      </a:solidFill>
                      <a:miter lim="800000"/>
                      <a:headEnd/>
                      <a:tailEnd/>
                    </a:ln>
                    <a:effectLst/>
                  </pic:spPr>
                </pic:pic>
              </a:graphicData>
            </a:graphic>
          </wp:inline>
        </w:drawing>
      </w:r>
    </w:p>
    <w:p w14:paraId="1FD7BAE7" w14:textId="77777777" w:rsidR="00AF34FD" w:rsidRPr="00461731" w:rsidRDefault="00AF34FD" w:rsidP="00AF34FD">
      <w:pPr>
        <w:tabs>
          <w:tab w:val="right" w:pos="8640"/>
        </w:tabs>
        <w:spacing w:line="480" w:lineRule="auto"/>
        <w:ind w:firstLine="720"/>
        <w:jc w:val="center"/>
        <w:rPr>
          <w:rFonts w:eastAsia="Times New Roman"/>
          <w:sz w:val="18"/>
          <w:szCs w:val="18"/>
          <w:lang w:eastAsia="en-US"/>
        </w:rPr>
      </w:pPr>
      <w:r w:rsidRPr="00461731">
        <w:rPr>
          <w:rFonts w:eastAsia="Times New Roman"/>
          <w:sz w:val="18"/>
          <w:szCs w:val="18"/>
          <w:lang w:eastAsia="en-US"/>
        </w:rPr>
        <w:t>FIGURE 5. Temporal analysis of TA muscle according to pedal task</w:t>
      </w:r>
    </w:p>
    <w:p w14:paraId="322A0377" w14:textId="77777777" w:rsidR="0032639E" w:rsidRDefault="0032639E" w:rsidP="00AF34FD">
      <w:pPr>
        <w:keepNext/>
        <w:spacing w:before="240" w:after="60"/>
        <w:jc w:val="center"/>
        <w:outlineLvl w:val="1"/>
        <w:rPr>
          <w:bCs/>
          <w:iCs/>
          <w:sz w:val="16"/>
          <w:szCs w:val="16"/>
        </w:rPr>
        <w:sectPr w:rsidR="0032639E" w:rsidSect="004E3A3D">
          <w:type w:val="continuous"/>
          <w:pgSz w:w="11906" w:h="16838"/>
          <w:pgMar w:top="1440" w:right="1440" w:bottom="1440" w:left="1440" w:header="708" w:footer="708" w:gutter="0"/>
          <w:cols w:space="708"/>
          <w:docGrid w:linePitch="360"/>
        </w:sectPr>
      </w:pPr>
    </w:p>
    <w:p w14:paraId="10D3B404" w14:textId="2E6A19CF" w:rsidR="00AF34FD" w:rsidRPr="008F4700" w:rsidRDefault="008F4700" w:rsidP="00AF34FD">
      <w:pPr>
        <w:keepNext/>
        <w:spacing w:before="240" w:after="60"/>
        <w:jc w:val="center"/>
        <w:outlineLvl w:val="1"/>
        <w:rPr>
          <w:bCs/>
          <w:iCs/>
          <w:sz w:val="20"/>
          <w:szCs w:val="20"/>
        </w:rPr>
      </w:pPr>
      <w:r w:rsidRPr="008F4700">
        <w:rPr>
          <w:bCs/>
          <w:iCs/>
          <w:sz w:val="20"/>
          <w:szCs w:val="20"/>
        </w:rPr>
        <w:t>AMPLITUDE ANALYSIS</w:t>
      </w:r>
    </w:p>
    <w:p w14:paraId="24ADB161" w14:textId="77777777" w:rsidR="00AF34FD" w:rsidRPr="00461731" w:rsidRDefault="00AF34FD" w:rsidP="00AF34FD"/>
    <w:p w14:paraId="367AAB5C"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Figure 6 show the Amplitude Analysis for TA based on RMS value. As stated in the previous paragraph, the TA shows different pattern when pressing and releasing the pedal. In addition, there are some significant differences between each position. </w:t>
      </w:r>
      <w:r w:rsidRPr="00461731">
        <w:rPr>
          <w:rFonts w:eastAsia="Times New Roman"/>
          <w:sz w:val="20"/>
          <w:szCs w:val="20"/>
          <w:lang w:eastAsia="en-US"/>
        </w:rPr>
        <w:t xml:space="preserve">Further analysis using statistical analysis method is described after this section. The mean RMS value for R action is higher than the HP and FP actions. For HP action, the mean RMS values for pre-post activity for position A are 4.58 (15%) and 5.18 µV (15%) respectively. For R action, the mean RMS values is 10.09 µV at %MVIC 30%. Meanwhile, for FP and HP action, the value is 6.37 µV at 20% and 4.58 µV at 15%, respectively. </w:t>
      </w:r>
    </w:p>
    <w:p w14:paraId="1B0CA916" w14:textId="77777777" w:rsidR="0032639E" w:rsidRDefault="0032639E" w:rsidP="00AF34FD">
      <w:pPr>
        <w:jc w:val="both"/>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p w14:paraId="4FBF8177" w14:textId="77777777" w:rsidR="00AF34FD" w:rsidRPr="00461731" w:rsidRDefault="00AF34FD" w:rsidP="00AF34FD">
      <w:pPr>
        <w:jc w:val="both"/>
        <w:rPr>
          <w:rFonts w:eastAsia="Times New Roman"/>
          <w:sz w:val="20"/>
          <w:szCs w:val="20"/>
          <w:lang w:eastAsia="en-US"/>
        </w:rPr>
      </w:pPr>
    </w:p>
    <w:p w14:paraId="00D68F38" w14:textId="77777777" w:rsidR="00AF34FD" w:rsidRPr="00461731" w:rsidRDefault="00AF34FD" w:rsidP="00AF34FD">
      <w:pPr>
        <w:jc w:val="center"/>
        <w:rPr>
          <w:rFonts w:eastAsia="Times New Roman"/>
          <w:sz w:val="20"/>
          <w:szCs w:val="20"/>
          <w:lang w:eastAsia="en-US"/>
        </w:rPr>
      </w:pPr>
      <w:r w:rsidRPr="00461731">
        <w:rPr>
          <w:rFonts w:eastAsia="Times New Roman"/>
          <w:noProof/>
          <w:sz w:val="20"/>
          <w:szCs w:val="20"/>
          <w:lang w:val="en-MY" w:eastAsia="en-MY"/>
        </w:rPr>
        <w:drawing>
          <wp:inline distT="0" distB="0" distL="0" distR="0" wp14:anchorId="1548649B" wp14:editId="154859D7">
            <wp:extent cx="3312795" cy="1991360"/>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12795" cy="1991360"/>
                    </a:xfrm>
                    <a:prstGeom prst="rect">
                      <a:avLst/>
                    </a:prstGeom>
                    <a:noFill/>
                  </pic:spPr>
                </pic:pic>
              </a:graphicData>
            </a:graphic>
          </wp:inline>
        </w:drawing>
      </w:r>
    </w:p>
    <w:p w14:paraId="42411AC8" w14:textId="77777777" w:rsidR="00AF34FD" w:rsidRPr="00461731" w:rsidRDefault="00AF34FD" w:rsidP="00AF34FD">
      <w:pPr>
        <w:jc w:val="both"/>
        <w:rPr>
          <w:bCs/>
          <w:iCs/>
        </w:rPr>
      </w:pPr>
    </w:p>
    <w:p w14:paraId="56AD306A" w14:textId="77777777" w:rsidR="00AF34FD" w:rsidRPr="00461731" w:rsidRDefault="00AF34FD" w:rsidP="00AF34FD">
      <w:pPr>
        <w:tabs>
          <w:tab w:val="right" w:pos="8640"/>
        </w:tabs>
        <w:spacing w:line="480" w:lineRule="auto"/>
        <w:ind w:firstLine="720"/>
        <w:jc w:val="center"/>
        <w:rPr>
          <w:rFonts w:eastAsia="Times New Roman"/>
          <w:sz w:val="18"/>
          <w:szCs w:val="18"/>
          <w:lang w:eastAsia="en-US"/>
        </w:rPr>
      </w:pPr>
      <w:r w:rsidRPr="00461731">
        <w:rPr>
          <w:rFonts w:eastAsia="Times New Roman"/>
          <w:sz w:val="18"/>
          <w:szCs w:val="18"/>
          <w:lang w:eastAsia="en-US"/>
        </w:rPr>
        <w:t>FIGURE 6. Amplitude analysis of TA muscle according to pedal task</w:t>
      </w:r>
    </w:p>
    <w:p w14:paraId="4D273BEE" w14:textId="77777777" w:rsidR="0032639E" w:rsidRDefault="0032639E" w:rsidP="00AF34FD">
      <w:pPr>
        <w:keepNext/>
        <w:spacing w:before="240" w:after="60"/>
        <w:jc w:val="center"/>
        <w:outlineLvl w:val="1"/>
        <w:rPr>
          <w:bCs/>
          <w:iCs/>
          <w:sz w:val="16"/>
          <w:szCs w:val="16"/>
        </w:rPr>
        <w:sectPr w:rsidR="0032639E" w:rsidSect="004E3A3D">
          <w:type w:val="continuous"/>
          <w:pgSz w:w="11906" w:h="16838"/>
          <w:pgMar w:top="1440" w:right="1440" w:bottom="1440" w:left="1440" w:header="708" w:footer="708" w:gutter="0"/>
          <w:cols w:space="708"/>
          <w:docGrid w:linePitch="360"/>
        </w:sectPr>
      </w:pPr>
    </w:p>
    <w:p w14:paraId="7533091A" w14:textId="66F8368A" w:rsidR="00AF34FD" w:rsidRPr="008F4700" w:rsidRDefault="008F4700" w:rsidP="00AF34FD">
      <w:pPr>
        <w:keepNext/>
        <w:spacing w:before="240" w:after="60"/>
        <w:jc w:val="center"/>
        <w:outlineLvl w:val="1"/>
        <w:rPr>
          <w:bCs/>
          <w:iCs/>
          <w:sz w:val="20"/>
          <w:szCs w:val="20"/>
        </w:rPr>
      </w:pPr>
      <w:r w:rsidRPr="008F4700">
        <w:rPr>
          <w:bCs/>
          <w:iCs/>
          <w:sz w:val="20"/>
          <w:szCs w:val="20"/>
        </w:rPr>
        <w:lastRenderedPageBreak/>
        <w:t>THOROUGH ANALYSIS ON ACCELERATOR PEDAL OPERATION</w:t>
      </w:r>
    </w:p>
    <w:p w14:paraId="41F11D03" w14:textId="77777777" w:rsidR="00AF34FD" w:rsidRPr="00461731" w:rsidRDefault="00AF34FD" w:rsidP="00AF34FD"/>
    <w:p w14:paraId="59F2CB96" w14:textId="77777777" w:rsidR="00181530" w:rsidRPr="00181530" w:rsidRDefault="00181530" w:rsidP="00181530">
      <w:pPr>
        <w:pStyle w:val="EndNoteBibliography"/>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A detailed analysis was carried out to identify the association between each variables using statistical analysis. In this section, the difference between action (HP, R and FP) is analysed using suitable statistical method. The Independence Variable is this case is one group that is measured on three different actions (HP, R and FP) and the Dependence Variable is the RMS value for three actions, HP, R and FP. There is significant difference between HP-R, FP-HP and R-FP after Wilcoxon signed-rank test was performed (p&gt;0.05).</w:t>
      </w:r>
    </w:p>
    <w:p w14:paraId="52792EFB" w14:textId="77777777" w:rsidR="00181530" w:rsidRPr="00181530" w:rsidRDefault="00181530" w:rsidP="00181530">
      <w:pPr>
        <w:pStyle w:val="EndNoteBibliography"/>
        <w:ind w:firstLine="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In this study, the TA is work in dorsiflexion position, which is referred to the releasing of the pedal. Dorsiflexion happens when the driver releases the pedal with the ankle joint angle is less than 90° and at the maximum of 70°. Meanwhile, the plantar flexion occurs when the driver presses the pedal with the ankle joint angle greater than 90°. When releasing the car pedal, the TA showed the greatest muscle activation based on the RMS value, which is more than 5 µV. In contrast, when pressing the pedal, particularly at HP action, the TA showed the lowest activation which is less than 5 µV. According to these findings, it shows that the TA muscle is in the rest condition when half-pressing the pedal. According to Florimond (2009), the muscle is in the rest condition when its amplitude is between +/- 5 µV. If more than +/- 5 µV, it is then activated. </w:t>
      </w:r>
    </w:p>
    <w:p w14:paraId="0E0C25D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03141D45" w14:textId="77777777" w:rsidR="00544ABF" w:rsidRDefault="00544ABF" w:rsidP="00741591">
      <w:pPr>
        <w:pStyle w:val="EndNoteBibliography"/>
        <w:ind w:left="567" w:hanging="567"/>
        <w:jc w:val="center"/>
        <w:rPr>
          <w:rFonts w:ascii="Times New Roman" w:eastAsia="Times New Roman" w:hAnsi="Times New Roman" w:cs="Times New Roman"/>
          <w:noProof w:val="0"/>
          <w:kern w:val="0"/>
          <w:sz w:val="16"/>
          <w:szCs w:val="16"/>
          <w:lang w:eastAsia="en-US"/>
        </w:rPr>
      </w:pPr>
    </w:p>
    <w:p w14:paraId="35B39F15" w14:textId="77777777" w:rsidR="00181530" w:rsidRPr="008F4700" w:rsidRDefault="00181530" w:rsidP="00741591">
      <w:pPr>
        <w:pStyle w:val="EndNoteBibliography"/>
        <w:ind w:left="567" w:hanging="567"/>
        <w:jc w:val="center"/>
        <w:rPr>
          <w:rFonts w:ascii="Times New Roman" w:eastAsia="Times New Roman" w:hAnsi="Times New Roman" w:cs="Times New Roman"/>
          <w:noProof w:val="0"/>
          <w:kern w:val="0"/>
          <w:sz w:val="32"/>
          <w:szCs w:val="32"/>
          <w:lang w:eastAsia="en-US"/>
        </w:rPr>
      </w:pPr>
      <w:r w:rsidRPr="008F4700">
        <w:rPr>
          <w:rFonts w:ascii="Times New Roman" w:eastAsia="Times New Roman" w:hAnsi="Times New Roman" w:cs="Times New Roman"/>
          <w:noProof w:val="0"/>
          <w:kern w:val="0"/>
          <w:sz w:val="24"/>
          <w:szCs w:val="24"/>
          <w:lang w:eastAsia="en-US"/>
        </w:rPr>
        <w:t>CONCLUSION</w:t>
      </w:r>
    </w:p>
    <w:p w14:paraId="46EAB941"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35D1CE2D" w14:textId="77777777" w:rsidR="00181530" w:rsidRPr="00181530" w:rsidRDefault="00181530" w:rsidP="00741591">
      <w:pPr>
        <w:pStyle w:val="EndNoteBibliography"/>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Leg placement while operating the car pedal is expected to engage with lower leg muscle activity. The finding from this study was supported with the principle of muscle loading to joint movement while coordinating the pedal. The primary muscle for pedal are numerous, however each muscle work differently based on the tasks. It consists of biomechanical movement in operating the pedal by applying different muscles and joint angle to control the pedal. In this study, the right TA is the prime mover when releasing the pedal (works in a dorsiflexion with ankle joint movement is less than 90 degrees). </w:t>
      </w:r>
    </w:p>
    <w:p w14:paraId="4CDF6CD6" w14:textId="77777777" w:rsidR="00181530" w:rsidRPr="00181530" w:rsidRDefault="00181530" w:rsidP="00741591">
      <w:pPr>
        <w:pStyle w:val="EndNoteBibliography"/>
        <w:ind w:firstLine="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In addition, different actions produce different muscle activation. In this study, pressing activity shows the lowest activation value compared to releasing action for TA muscle. Based on the study, TA muscle contracted below than 5 µV for half pressing action. It shows that during half-pressing action, the TA muscle is in the rest condition. All in all, this study shows that the TA muscle works differently according to the car pedal actions. This action </w:t>
      </w:r>
      <w:proofErr w:type="gramStart"/>
      <w:r w:rsidRPr="00181530">
        <w:rPr>
          <w:rFonts w:ascii="Times New Roman" w:eastAsia="Times New Roman" w:hAnsi="Times New Roman" w:cs="Times New Roman"/>
          <w:noProof w:val="0"/>
          <w:kern w:val="0"/>
          <w:sz w:val="20"/>
          <w:lang w:eastAsia="en-US"/>
        </w:rPr>
        <w:t>influence</w:t>
      </w:r>
      <w:proofErr w:type="gramEnd"/>
      <w:r w:rsidRPr="00181530">
        <w:rPr>
          <w:rFonts w:ascii="Times New Roman" w:eastAsia="Times New Roman" w:hAnsi="Times New Roman" w:cs="Times New Roman"/>
          <w:noProof w:val="0"/>
          <w:kern w:val="0"/>
          <w:sz w:val="20"/>
          <w:lang w:eastAsia="en-US"/>
        </w:rPr>
        <w:t xml:space="preserve"> the driver’s state when </w:t>
      </w:r>
      <w:r w:rsidRPr="00181530">
        <w:rPr>
          <w:rFonts w:ascii="Times New Roman" w:eastAsia="Times New Roman" w:hAnsi="Times New Roman" w:cs="Times New Roman"/>
          <w:noProof w:val="0"/>
          <w:kern w:val="0"/>
          <w:sz w:val="20"/>
          <w:lang w:eastAsia="en-US"/>
        </w:rPr>
        <w:t xml:space="preserve">operating the car pedal. </w:t>
      </w:r>
    </w:p>
    <w:p w14:paraId="325F3B70"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14:paraId="0A780E88" w14:textId="77777777" w:rsidR="00181530" w:rsidRPr="008F4700" w:rsidRDefault="00181530" w:rsidP="00181530">
      <w:pPr>
        <w:pStyle w:val="EndNoteBibliography"/>
        <w:ind w:left="567" w:hanging="567"/>
        <w:rPr>
          <w:rFonts w:ascii="Times New Roman" w:eastAsia="Times New Roman" w:hAnsi="Times New Roman" w:cs="Times New Roman"/>
          <w:noProof w:val="0"/>
          <w:kern w:val="0"/>
          <w:sz w:val="32"/>
          <w:szCs w:val="32"/>
          <w:lang w:eastAsia="en-US"/>
        </w:rPr>
      </w:pPr>
    </w:p>
    <w:p w14:paraId="3AD23EE3" w14:textId="77777777" w:rsidR="00181530" w:rsidRPr="008F4700" w:rsidRDefault="00181530" w:rsidP="00741591">
      <w:pPr>
        <w:pStyle w:val="EndNoteBibliography"/>
        <w:ind w:left="567" w:hanging="567"/>
        <w:jc w:val="center"/>
        <w:rPr>
          <w:rFonts w:ascii="Times New Roman" w:eastAsia="Times New Roman" w:hAnsi="Times New Roman" w:cs="Times New Roman"/>
          <w:noProof w:val="0"/>
          <w:kern w:val="0"/>
          <w:sz w:val="24"/>
          <w:szCs w:val="24"/>
          <w:lang w:eastAsia="en-US"/>
        </w:rPr>
      </w:pPr>
      <w:r w:rsidRPr="008F4700">
        <w:rPr>
          <w:rFonts w:ascii="Times New Roman" w:eastAsia="Times New Roman" w:hAnsi="Times New Roman" w:cs="Times New Roman"/>
          <w:noProof w:val="0"/>
          <w:kern w:val="0"/>
          <w:sz w:val="24"/>
          <w:szCs w:val="24"/>
          <w:lang w:eastAsia="en-US"/>
        </w:rPr>
        <w:t>ACKNOWLEDGEMENT</w:t>
      </w:r>
    </w:p>
    <w:p w14:paraId="2EC36F3F"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17705827" w14:textId="3C6BC955" w:rsidR="009A017A" w:rsidRPr="00E0550F" w:rsidRDefault="009A017A" w:rsidP="009A017A">
      <w:pPr>
        <w:contextualSpacing/>
        <w:jc w:val="both"/>
        <w:rPr>
          <w:b/>
          <w:bCs/>
          <w:i/>
          <w:sz w:val="20"/>
          <w:szCs w:val="20"/>
          <w:lang w:val="en-GB"/>
        </w:rPr>
      </w:pPr>
      <w:r w:rsidRPr="0080667E">
        <w:rPr>
          <w:b/>
          <w:bCs/>
          <w:i/>
          <w:sz w:val="20"/>
          <w:szCs w:val="20"/>
          <w:highlight w:val="darkGray"/>
          <w:lang w:val="en-GB"/>
        </w:rPr>
        <w:t>*Please provide financial support (if any)</w:t>
      </w:r>
      <w:r w:rsidRPr="00E0550F">
        <w:rPr>
          <w:b/>
          <w:bCs/>
          <w:i/>
          <w:sz w:val="20"/>
          <w:szCs w:val="20"/>
          <w:lang w:val="en-GB"/>
        </w:rPr>
        <w:t xml:space="preserve"> </w:t>
      </w:r>
    </w:p>
    <w:p w14:paraId="0EA6482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14:paraId="6CF05908" w14:textId="77777777" w:rsidR="00E81F1B" w:rsidRPr="008F4700" w:rsidRDefault="00E81F1B" w:rsidP="00E81F1B">
      <w:pPr>
        <w:pStyle w:val="Pa12"/>
        <w:spacing w:before="280" w:after="180"/>
        <w:ind w:hanging="1"/>
        <w:jc w:val="center"/>
        <w:rPr>
          <w:color w:val="221E1F"/>
        </w:rPr>
      </w:pPr>
      <w:bookmarkStart w:id="5" w:name="_Hlk149293462"/>
      <w:r w:rsidRPr="008F4700">
        <w:rPr>
          <w:color w:val="221E1F"/>
        </w:rPr>
        <w:t>DECLARATION OF COMPETING INTEREST</w:t>
      </w:r>
    </w:p>
    <w:p w14:paraId="5B947620" w14:textId="77777777" w:rsidR="00E81F1B" w:rsidRPr="00691575" w:rsidRDefault="00E81F1B" w:rsidP="00E81F1B">
      <w:pPr>
        <w:contextualSpacing/>
        <w:jc w:val="both"/>
        <w:rPr>
          <w:rFonts w:eastAsia="Times New Roman"/>
          <w:sz w:val="20"/>
          <w:szCs w:val="20"/>
          <w:lang w:eastAsia="en-US"/>
        </w:rPr>
      </w:pPr>
      <w:r>
        <w:rPr>
          <w:color w:val="000000"/>
          <w:sz w:val="20"/>
          <w:szCs w:val="20"/>
        </w:rPr>
        <w:t>None</w:t>
      </w:r>
      <w:bookmarkEnd w:id="5"/>
    </w:p>
    <w:p w14:paraId="1C2ADEBB"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33AF6840" w14:textId="0E17A324" w:rsidR="00181530" w:rsidRPr="008F4700" w:rsidRDefault="00181530" w:rsidP="00741591">
      <w:pPr>
        <w:pStyle w:val="EndNoteBibliography"/>
        <w:ind w:left="567" w:hanging="567"/>
        <w:jc w:val="center"/>
        <w:rPr>
          <w:rFonts w:ascii="Times New Roman" w:eastAsia="Times New Roman" w:hAnsi="Times New Roman" w:cs="Times New Roman"/>
          <w:noProof w:val="0"/>
          <w:kern w:val="0"/>
          <w:sz w:val="24"/>
          <w:szCs w:val="24"/>
          <w:lang w:eastAsia="en-US"/>
        </w:rPr>
      </w:pPr>
      <w:r w:rsidRPr="008F4700">
        <w:rPr>
          <w:rFonts w:ascii="Times New Roman" w:eastAsia="Times New Roman" w:hAnsi="Times New Roman" w:cs="Times New Roman"/>
          <w:noProof w:val="0"/>
          <w:kern w:val="0"/>
          <w:sz w:val="24"/>
          <w:szCs w:val="24"/>
          <w:lang w:eastAsia="en-US"/>
        </w:rPr>
        <w:t>REFERENCES</w:t>
      </w:r>
    </w:p>
    <w:p w14:paraId="3BDA46B7" w14:textId="3FD79B85" w:rsidR="009A017A" w:rsidRDefault="009A017A" w:rsidP="00741591">
      <w:pPr>
        <w:pStyle w:val="EndNoteBibliography"/>
        <w:ind w:left="567" w:hanging="567"/>
        <w:jc w:val="center"/>
        <w:rPr>
          <w:rFonts w:ascii="Times New Roman" w:eastAsia="Times New Roman" w:hAnsi="Times New Roman" w:cs="Times New Roman"/>
          <w:noProof w:val="0"/>
          <w:kern w:val="0"/>
          <w:sz w:val="16"/>
          <w:szCs w:val="16"/>
          <w:lang w:eastAsia="en-US"/>
        </w:rPr>
      </w:pPr>
    </w:p>
    <w:p w14:paraId="4474C172" w14:textId="5514F48C" w:rsidR="009A017A" w:rsidRPr="00E0550F" w:rsidRDefault="009A017A" w:rsidP="009A017A">
      <w:pPr>
        <w:contextualSpacing/>
        <w:jc w:val="both"/>
        <w:rPr>
          <w:b/>
          <w:bCs/>
          <w:i/>
          <w:sz w:val="20"/>
          <w:szCs w:val="20"/>
          <w:lang w:val="en-GB"/>
        </w:rPr>
      </w:pPr>
      <w:r w:rsidRPr="0080667E">
        <w:rPr>
          <w:b/>
          <w:bCs/>
          <w:i/>
          <w:sz w:val="20"/>
          <w:szCs w:val="20"/>
          <w:highlight w:val="darkGray"/>
          <w:lang w:val="en-GB"/>
        </w:rPr>
        <w:t>*References are in an alphabetical order</w:t>
      </w:r>
    </w:p>
    <w:p w14:paraId="4D760A44" w14:textId="77777777" w:rsidR="009A017A" w:rsidRPr="00181530" w:rsidRDefault="009A017A" w:rsidP="00741591">
      <w:pPr>
        <w:pStyle w:val="EndNoteBibliography"/>
        <w:ind w:left="567" w:hanging="567"/>
        <w:jc w:val="center"/>
        <w:rPr>
          <w:rFonts w:ascii="Times New Roman" w:eastAsia="Times New Roman" w:hAnsi="Times New Roman" w:cs="Times New Roman"/>
          <w:noProof w:val="0"/>
          <w:kern w:val="0"/>
          <w:sz w:val="20"/>
          <w:lang w:eastAsia="en-US"/>
        </w:rPr>
      </w:pPr>
    </w:p>
    <w:p w14:paraId="6B3F418E"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14:paraId="74C2CA69" w14:textId="77777777" w:rsidR="00181530" w:rsidRPr="00181530" w:rsidRDefault="00DA0D37" w:rsidP="00181530">
      <w:pPr>
        <w:pStyle w:val="EndNoteBibliography"/>
        <w:ind w:left="567" w:hanging="567"/>
        <w:rPr>
          <w:rFonts w:ascii="Times New Roman" w:eastAsia="Times New Roman" w:hAnsi="Times New Roman" w:cs="Times New Roman"/>
          <w:noProof w:val="0"/>
          <w:kern w:val="0"/>
          <w:sz w:val="20"/>
          <w:lang w:eastAsia="en-US"/>
        </w:rPr>
      </w:pPr>
      <w:r>
        <w:rPr>
          <w:rFonts w:ascii="Times New Roman" w:eastAsia="Times New Roman" w:hAnsi="Times New Roman" w:cs="Times New Roman"/>
          <w:noProof w:val="0"/>
          <w:kern w:val="0"/>
          <w:sz w:val="20"/>
          <w:lang w:eastAsia="en-US"/>
        </w:rPr>
        <w:t>Adler, S. 2007. The relation b</w:t>
      </w:r>
      <w:r w:rsidR="00181530" w:rsidRPr="00181530">
        <w:rPr>
          <w:rFonts w:ascii="Times New Roman" w:eastAsia="Times New Roman" w:hAnsi="Times New Roman" w:cs="Times New Roman"/>
          <w:noProof w:val="0"/>
          <w:kern w:val="0"/>
          <w:sz w:val="20"/>
          <w:lang w:eastAsia="en-US"/>
        </w:rPr>
        <w:t>etween long-term seating comfort and driver movement. Dipl.-</w:t>
      </w:r>
      <w:proofErr w:type="spellStart"/>
      <w:r w:rsidR="00181530" w:rsidRPr="00181530">
        <w:rPr>
          <w:rFonts w:ascii="Times New Roman" w:eastAsia="Times New Roman" w:hAnsi="Times New Roman" w:cs="Times New Roman"/>
          <w:noProof w:val="0"/>
          <w:kern w:val="0"/>
          <w:sz w:val="20"/>
          <w:lang w:eastAsia="en-US"/>
        </w:rPr>
        <w:t>Sportwiss</w:t>
      </w:r>
      <w:proofErr w:type="spellEnd"/>
      <w:r w:rsidR="00181530" w:rsidRPr="00181530">
        <w:rPr>
          <w:rFonts w:ascii="Times New Roman" w:eastAsia="Times New Roman" w:hAnsi="Times New Roman" w:cs="Times New Roman"/>
          <w:noProof w:val="0"/>
          <w:kern w:val="0"/>
          <w:sz w:val="20"/>
          <w:lang w:eastAsia="en-US"/>
        </w:rPr>
        <w:t>, Friedrich-Schiller-</w:t>
      </w:r>
      <w:proofErr w:type="spellStart"/>
      <w:r w:rsidR="00181530" w:rsidRPr="00181530">
        <w:rPr>
          <w:rFonts w:ascii="Times New Roman" w:eastAsia="Times New Roman" w:hAnsi="Times New Roman" w:cs="Times New Roman"/>
          <w:noProof w:val="0"/>
          <w:kern w:val="0"/>
          <w:sz w:val="20"/>
          <w:lang w:eastAsia="en-US"/>
        </w:rPr>
        <w:t>Universitat</w:t>
      </w:r>
      <w:proofErr w:type="spellEnd"/>
      <w:r w:rsidR="00181530" w:rsidRPr="00181530">
        <w:rPr>
          <w:rFonts w:ascii="Times New Roman" w:eastAsia="Times New Roman" w:hAnsi="Times New Roman" w:cs="Times New Roman"/>
          <w:noProof w:val="0"/>
          <w:kern w:val="0"/>
          <w:sz w:val="20"/>
          <w:lang w:eastAsia="en-US"/>
        </w:rPr>
        <w:t xml:space="preserve"> Jena.</w:t>
      </w:r>
    </w:p>
    <w:p w14:paraId="6FDC18A6"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Antonson, H., Ahlström, C., </w:t>
      </w:r>
      <w:proofErr w:type="spellStart"/>
      <w:r w:rsidRPr="00181530">
        <w:rPr>
          <w:rFonts w:ascii="Times New Roman" w:eastAsia="Times New Roman" w:hAnsi="Times New Roman" w:cs="Times New Roman"/>
          <w:noProof w:val="0"/>
          <w:kern w:val="0"/>
          <w:sz w:val="20"/>
          <w:lang w:eastAsia="en-US"/>
        </w:rPr>
        <w:t>Mårdh</w:t>
      </w:r>
      <w:proofErr w:type="spellEnd"/>
      <w:r w:rsidRPr="00181530">
        <w:rPr>
          <w:rFonts w:ascii="Times New Roman" w:eastAsia="Times New Roman" w:hAnsi="Times New Roman" w:cs="Times New Roman"/>
          <w:noProof w:val="0"/>
          <w:kern w:val="0"/>
          <w:sz w:val="20"/>
          <w:lang w:eastAsia="en-US"/>
        </w:rPr>
        <w:t xml:space="preserve">, S., Blomqvist, G., &amp; Wiklund, M. 2014. Landscape heritage objects’ effect on driving: a combined driving simulator and questionnaire study.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62</w:t>
      </w:r>
      <w:r w:rsidR="00C16E82">
        <w:rPr>
          <w:rFonts w:ascii="Times New Roman" w:eastAsia="Times New Roman" w:hAnsi="Times New Roman" w:cs="Times New Roman"/>
          <w:noProof w:val="0"/>
          <w:kern w:val="0"/>
          <w:sz w:val="20"/>
          <w:lang w:eastAsia="en-US"/>
        </w:rPr>
        <w:t>(1)</w:t>
      </w:r>
      <w:r w:rsidRPr="00181530">
        <w:rPr>
          <w:rFonts w:ascii="Times New Roman" w:eastAsia="Times New Roman" w:hAnsi="Times New Roman" w:cs="Times New Roman"/>
          <w:noProof w:val="0"/>
          <w:kern w:val="0"/>
          <w:sz w:val="20"/>
          <w:lang w:eastAsia="en-US"/>
        </w:rPr>
        <w:t>: 168-177.</w:t>
      </w:r>
    </w:p>
    <w:p w14:paraId="69AA97E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r w:rsidRPr="00181530">
        <w:rPr>
          <w:rFonts w:ascii="Times New Roman" w:eastAsia="Times New Roman" w:hAnsi="Times New Roman" w:cs="Times New Roman"/>
          <w:noProof w:val="0"/>
          <w:kern w:val="0"/>
          <w:sz w:val="20"/>
          <w:lang w:eastAsia="en-US"/>
        </w:rPr>
        <w:t>Auberlet</w:t>
      </w:r>
      <w:proofErr w:type="spellEnd"/>
      <w:r w:rsidRPr="00181530">
        <w:rPr>
          <w:rFonts w:ascii="Times New Roman" w:eastAsia="Times New Roman" w:hAnsi="Times New Roman" w:cs="Times New Roman"/>
          <w:noProof w:val="0"/>
          <w:kern w:val="0"/>
          <w:sz w:val="20"/>
          <w:lang w:eastAsia="en-US"/>
        </w:rPr>
        <w:t xml:space="preserve">, J.-M., Rosey, F., </w:t>
      </w:r>
      <w:proofErr w:type="spellStart"/>
      <w:r w:rsidRPr="00181530">
        <w:rPr>
          <w:rFonts w:ascii="Times New Roman" w:eastAsia="Times New Roman" w:hAnsi="Times New Roman" w:cs="Times New Roman"/>
          <w:noProof w:val="0"/>
          <w:kern w:val="0"/>
          <w:sz w:val="20"/>
          <w:lang w:eastAsia="en-US"/>
        </w:rPr>
        <w:t>Anceaux</w:t>
      </w:r>
      <w:proofErr w:type="spellEnd"/>
      <w:r w:rsidRPr="00181530">
        <w:rPr>
          <w:rFonts w:ascii="Times New Roman" w:eastAsia="Times New Roman" w:hAnsi="Times New Roman" w:cs="Times New Roman"/>
          <w:noProof w:val="0"/>
          <w:kern w:val="0"/>
          <w:sz w:val="20"/>
          <w:lang w:eastAsia="en-US"/>
        </w:rPr>
        <w:t xml:space="preserve">, F., Aubin, S., Briand, P., </w:t>
      </w:r>
      <w:proofErr w:type="spellStart"/>
      <w:r w:rsidRPr="00181530">
        <w:rPr>
          <w:rFonts w:ascii="Times New Roman" w:eastAsia="Times New Roman" w:hAnsi="Times New Roman" w:cs="Times New Roman"/>
          <w:noProof w:val="0"/>
          <w:kern w:val="0"/>
          <w:sz w:val="20"/>
          <w:lang w:eastAsia="en-US"/>
        </w:rPr>
        <w:t>Pacaux</w:t>
      </w:r>
      <w:proofErr w:type="spellEnd"/>
      <w:r w:rsidRPr="00181530">
        <w:rPr>
          <w:rFonts w:ascii="Times New Roman" w:eastAsia="Times New Roman" w:hAnsi="Times New Roman" w:cs="Times New Roman"/>
          <w:noProof w:val="0"/>
          <w:kern w:val="0"/>
          <w:sz w:val="20"/>
          <w:lang w:eastAsia="en-US"/>
        </w:rPr>
        <w:t xml:space="preserve">, M.-P., &amp; </w:t>
      </w:r>
      <w:proofErr w:type="spellStart"/>
      <w:r w:rsidRPr="00181530">
        <w:rPr>
          <w:rFonts w:ascii="Times New Roman" w:eastAsia="Times New Roman" w:hAnsi="Times New Roman" w:cs="Times New Roman"/>
          <w:noProof w:val="0"/>
          <w:kern w:val="0"/>
          <w:sz w:val="20"/>
          <w:lang w:eastAsia="en-US"/>
        </w:rPr>
        <w:t>Plainchault</w:t>
      </w:r>
      <w:proofErr w:type="spellEnd"/>
      <w:r w:rsidRPr="00181530">
        <w:rPr>
          <w:rFonts w:ascii="Times New Roman" w:eastAsia="Times New Roman" w:hAnsi="Times New Roman" w:cs="Times New Roman"/>
          <w:noProof w:val="0"/>
          <w:kern w:val="0"/>
          <w:sz w:val="20"/>
          <w:lang w:eastAsia="en-US"/>
        </w:rPr>
        <w:t>, P. 2012. The impact of perceptual treatments on driver’s behavior: from driving s</w:t>
      </w:r>
      <w:r w:rsidR="00DA0D37">
        <w:rPr>
          <w:rFonts w:ascii="Times New Roman" w:eastAsia="Times New Roman" w:hAnsi="Times New Roman" w:cs="Times New Roman"/>
          <w:noProof w:val="0"/>
          <w:kern w:val="0"/>
          <w:sz w:val="20"/>
          <w:lang w:eastAsia="en-US"/>
        </w:rPr>
        <w:t>imulator studies to field tests</w:t>
      </w:r>
      <w:r w:rsidRPr="00181530">
        <w:rPr>
          <w:rFonts w:ascii="Times New Roman" w:eastAsia="Times New Roman" w:hAnsi="Times New Roman" w:cs="Times New Roman"/>
          <w:noProof w:val="0"/>
          <w:kern w:val="0"/>
          <w:sz w:val="20"/>
          <w:lang w:eastAsia="en-US"/>
        </w:rPr>
        <w:t xml:space="preserve">-first results.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45</w:t>
      </w:r>
      <w:r w:rsidR="00C16E82">
        <w:rPr>
          <w:rFonts w:ascii="Times New Roman" w:eastAsia="Times New Roman" w:hAnsi="Times New Roman" w:cs="Times New Roman"/>
          <w:noProof w:val="0"/>
          <w:kern w:val="0"/>
          <w:sz w:val="20"/>
          <w:lang w:eastAsia="en-US"/>
        </w:rPr>
        <w:t>(2)</w:t>
      </w:r>
      <w:r w:rsidRPr="00181530">
        <w:rPr>
          <w:rFonts w:ascii="Times New Roman" w:eastAsia="Times New Roman" w:hAnsi="Times New Roman" w:cs="Times New Roman"/>
          <w:noProof w:val="0"/>
          <w:kern w:val="0"/>
          <w:sz w:val="20"/>
          <w:lang w:eastAsia="en-US"/>
        </w:rPr>
        <w:t xml:space="preserve">: 91-98. </w:t>
      </w:r>
    </w:p>
    <w:p w14:paraId="50928602"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Bougard, C., </w:t>
      </w:r>
      <w:proofErr w:type="spellStart"/>
      <w:r w:rsidRPr="00181530">
        <w:rPr>
          <w:rFonts w:ascii="Times New Roman" w:eastAsia="Times New Roman" w:hAnsi="Times New Roman" w:cs="Times New Roman"/>
          <w:noProof w:val="0"/>
          <w:kern w:val="0"/>
          <w:sz w:val="20"/>
          <w:lang w:eastAsia="en-US"/>
        </w:rPr>
        <w:t>Moussay</w:t>
      </w:r>
      <w:proofErr w:type="spellEnd"/>
      <w:r w:rsidRPr="00181530">
        <w:rPr>
          <w:rFonts w:ascii="Times New Roman" w:eastAsia="Times New Roman" w:hAnsi="Times New Roman" w:cs="Times New Roman"/>
          <w:noProof w:val="0"/>
          <w:kern w:val="0"/>
          <w:sz w:val="20"/>
          <w:lang w:eastAsia="en-US"/>
        </w:rPr>
        <w:t xml:space="preserve">, S., &amp; Davenne, D. 2008. An assessment of the relevance of laboratory and motorcycling tests for investigating time of day and sleep deprivation influences on motorcycling performance.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40(2): 635-643. </w:t>
      </w:r>
    </w:p>
    <w:p w14:paraId="202BD5B1"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Costanzo, A., Graziani, G. &amp; Orsi, G. 1999. Driving </w:t>
      </w:r>
      <w:proofErr w:type="spellStart"/>
      <w:r w:rsidRPr="00181530">
        <w:rPr>
          <w:rFonts w:ascii="Times New Roman" w:eastAsia="Times New Roman" w:hAnsi="Times New Roman" w:cs="Times New Roman"/>
          <w:noProof w:val="0"/>
          <w:kern w:val="0"/>
          <w:sz w:val="20"/>
          <w:lang w:eastAsia="en-US"/>
        </w:rPr>
        <w:t>ergonomy</w:t>
      </w:r>
      <w:proofErr w:type="spellEnd"/>
      <w:r w:rsidRPr="00181530">
        <w:rPr>
          <w:rFonts w:ascii="Times New Roman" w:eastAsia="Times New Roman" w:hAnsi="Times New Roman" w:cs="Times New Roman"/>
          <w:noProof w:val="0"/>
          <w:kern w:val="0"/>
          <w:sz w:val="20"/>
          <w:lang w:eastAsia="en-US"/>
        </w:rPr>
        <w:t xml:space="preserve">: New methodology for the assessment of stresses on upper limbs. </w:t>
      </w:r>
      <w:r w:rsidRPr="00B6391A">
        <w:rPr>
          <w:rFonts w:ascii="Times New Roman" w:eastAsia="Times New Roman" w:hAnsi="Times New Roman" w:cs="Times New Roman"/>
          <w:i/>
          <w:noProof w:val="0"/>
          <w:kern w:val="0"/>
          <w:sz w:val="20"/>
          <w:lang w:eastAsia="en-US"/>
        </w:rPr>
        <w:t>Safety Science Monitor</w:t>
      </w:r>
      <w:r w:rsidRPr="00181530">
        <w:rPr>
          <w:rFonts w:ascii="Times New Roman" w:eastAsia="Times New Roman" w:hAnsi="Times New Roman" w:cs="Times New Roman"/>
          <w:noProof w:val="0"/>
          <w:kern w:val="0"/>
          <w:sz w:val="20"/>
          <w:lang w:eastAsia="en-US"/>
        </w:rPr>
        <w:t xml:space="preserve"> 3(2): 1-11.</w:t>
      </w:r>
    </w:p>
    <w:p w14:paraId="4CB1AE6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De Waard, D., Van den Bold, T.G. &amp; Lewis-Evans, B. 2010. Driver hand position on the steering wheel while merging into motorway traffic. </w:t>
      </w:r>
      <w:r w:rsidRPr="00B6391A">
        <w:rPr>
          <w:rFonts w:ascii="Times New Roman" w:eastAsia="Times New Roman" w:hAnsi="Times New Roman" w:cs="Times New Roman"/>
          <w:i/>
          <w:noProof w:val="0"/>
          <w:kern w:val="0"/>
          <w:sz w:val="20"/>
          <w:lang w:eastAsia="en-US"/>
        </w:rPr>
        <w:t xml:space="preserve">Transportation Research Part F: </w:t>
      </w:r>
      <w:r w:rsidR="00DA0D37">
        <w:rPr>
          <w:rFonts w:ascii="Times New Roman" w:eastAsia="Times New Roman" w:hAnsi="Times New Roman" w:cs="Times New Roman"/>
          <w:i/>
          <w:noProof w:val="0"/>
          <w:kern w:val="0"/>
          <w:sz w:val="20"/>
          <w:lang w:eastAsia="en-US"/>
        </w:rPr>
        <w:t xml:space="preserve">Traffic Psychology and </w:t>
      </w:r>
      <w:proofErr w:type="spellStart"/>
      <w:r w:rsidR="00DA0D37">
        <w:rPr>
          <w:rFonts w:ascii="Times New Roman" w:eastAsia="Times New Roman" w:hAnsi="Times New Roman" w:cs="Times New Roman"/>
          <w:i/>
          <w:noProof w:val="0"/>
          <w:kern w:val="0"/>
          <w:sz w:val="20"/>
          <w:lang w:eastAsia="en-US"/>
        </w:rPr>
        <w:t>Behaviou</w:t>
      </w:r>
      <w:proofErr w:type="spellEnd"/>
      <w:r w:rsidRPr="00181530">
        <w:rPr>
          <w:rFonts w:ascii="Times New Roman" w:eastAsia="Times New Roman" w:hAnsi="Times New Roman" w:cs="Times New Roman"/>
          <w:noProof w:val="0"/>
          <w:kern w:val="0"/>
          <w:sz w:val="20"/>
          <w:lang w:eastAsia="en-US"/>
        </w:rPr>
        <w:t xml:space="preserve">, 13(2): 129-140. </w:t>
      </w:r>
    </w:p>
    <w:p w14:paraId="577CB41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Döring, T., Kern, D., Marshall, P., Pfeiffer, M., </w:t>
      </w:r>
      <w:proofErr w:type="spellStart"/>
      <w:r w:rsidRPr="00181530">
        <w:rPr>
          <w:rFonts w:ascii="Times New Roman" w:eastAsia="Times New Roman" w:hAnsi="Times New Roman" w:cs="Times New Roman"/>
          <w:noProof w:val="0"/>
          <w:kern w:val="0"/>
          <w:sz w:val="20"/>
          <w:lang w:eastAsia="en-US"/>
        </w:rPr>
        <w:t>Schöning</w:t>
      </w:r>
      <w:proofErr w:type="spellEnd"/>
      <w:r w:rsidRPr="00181530">
        <w:rPr>
          <w:rFonts w:ascii="Times New Roman" w:eastAsia="Times New Roman" w:hAnsi="Times New Roman" w:cs="Times New Roman"/>
          <w:noProof w:val="0"/>
          <w:kern w:val="0"/>
          <w:sz w:val="20"/>
          <w:lang w:eastAsia="en-US"/>
        </w:rPr>
        <w:t xml:space="preserve">, J., Gruhn, V., &amp; Schmidt, A. 2011. Gestural interaction on the steering wheel: reducing the visual demand. </w:t>
      </w:r>
      <w:r w:rsidRPr="00D22610">
        <w:rPr>
          <w:rFonts w:ascii="Times New Roman" w:eastAsia="Times New Roman" w:hAnsi="Times New Roman" w:cs="Times New Roman"/>
          <w:i/>
          <w:noProof w:val="0"/>
          <w:kern w:val="0"/>
          <w:sz w:val="20"/>
          <w:lang w:eastAsia="en-US"/>
        </w:rPr>
        <w:t>Proceedings of the 2011 Annual Conference on Human Factors in Computing Systems</w:t>
      </w:r>
      <w:r w:rsidRPr="00181530">
        <w:rPr>
          <w:rFonts w:ascii="Times New Roman" w:eastAsia="Times New Roman" w:hAnsi="Times New Roman" w:cs="Times New Roman"/>
          <w:noProof w:val="0"/>
          <w:kern w:val="0"/>
          <w:sz w:val="20"/>
          <w:lang w:eastAsia="en-US"/>
        </w:rPr>
        <w:t xml:space="preserve"> 483-492.</w:t>
      </w:r>
    </w:p>
    <w:p w14:paraId="66155D79"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r w:rsidRPr="00181530">
        <w:rPr>
          <w:rFonts w:ascii="Times New Roman" w:eastAsia="Times New Roman" w:hAnsi="Times New Roman" w:cs="Times New Roman"/>
          <w:noProof w:val="0"/>
          <w:kern w:val="0"/>
          <w:sz w:val="20"/>
          <w:lang w:eastAsia="en-US"/>
        </w:rPr>
        <w:t>Fatollahzadeh</w:t>
      </w:r>
      <w:proofErr w:type="spellEnd"/>
      <w:r w:rsidRPr="00181530">
        <w:rPr>
          <w:rFonts w:ascii="Times New Roman" w:eastAsia="Times New Roman" w:hAnsi="Times New Roman" w:cs="Times New Roman"/>
          <w:noProof w:val="0"/>
          <w:kern w:val="0"/>
          <w:sz w:val="20"/>
          <w:lang w:eastAsia="en-US"/>
        </w:rPr>
        <w:t xml:space="preserve">, K., 2006. A laboratory vehicle mock-up research work on truck driver’s selected seat position and posture: A mathematical model approach with respect to </w:t>
      </w:r>
      <w:r w:rsidRPr="00181530">
        <w:rPr>
          <w:rFonts w:ascii="Times New Roman" w:eastAsia="Times New Roman" w:hAnsi="Times New Roman" w:cs="Times New Roman"/>
          <w:noProof w:val="0"/>
          <w:kern w:val="0"/>
          <w:sz w:val="20"/>
          <w:lang w:eastAsia="en-US"/>
        </w:rPr>
        <w:lastRenderedPageBreak/>
        <w:t>anthropometry, body landmark locations and discomfort, Doctoral Thesis, Royal Institute of Technology.</w:t>
      </w:r>
    </w:p>
    <w:p w14:paraId="5CAFCE9C"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Florimond, V. 2009. </w:t>
      </w:r>
      <w:r w:rsidRPr="0030048A">
        <w:rPr>
          <w:rFonts w:ascii="Times New Roman" w:eastAsia="Times New Roman" w:hAnsi="Times New Roman" w:cs="Times New Roman"/>
          <w:i/>
          <w:noProof w:val="0"/>
          <w:kern w:val="0"/>
          <w:sz w:val="20"/>
          <w:lang w:eastAsia="en-US"/>
        </w:rPr>
        <w:t>Basics of surface electromyography applied to physical rehabilitation and biomechanics</w:t>
      </w:r>
      <w:r w:rsidRPr="00181530">
        <w:rPr>
          <w:rFonts w:ascii="Times New Roman" w:eastAsia="Times New Roman" w:hAnsi="Times New Roman" w:cs="Times New Roman"/>
          <w:noProof w:val="0"/>
          <w:kern w:val="0"/>
          <w:sz w:val="20"/>
          <w:lang w:eastAsia="en-US"/>
        </w:rPr>
        <w:t>, Volume 1, Montreal, Canada: Thought Technology Ltd.</w:t>
      </w:r>
    </w:p>
    <w:p w14:paraId="5F9626D7"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Fouladi, M. H., Inayatullah, O., &amp; Ariffin, A. K. 2011. Evaluation of seat vibration sources in driving condition using spectral analysis. </w:t>
      </w:r>
      <w:r w:rsidRPr="00D22610">
        <w:rPr>
          <w:rFonts w:ascii="Times New Roman" w:eastAsia="Times New Roman" w:hAnsi="Times New Roman" w:cs="Times New Roman"/>
          <w:i/>
          <w:noProof w:val="0"/>
          <w:kern w:val="0"/>
          <w:sz w:val="20"/>
          <w:lang w:eastAsia="en-US"/>
        </w:rPr>
        <w:t>Journal of Engineering Science and Technology</w:t>
      </w:r>
      <w:r w:rsidRPr="00181530">
        <w:rPr>
          <w:rFonts w:ascii="Times New Roman" w:eastAsia="Times New Roman" w:hAnsi="Times New Roman" w:cs="Times New Roman"/>
          <w:noProof w:val="0"/>
          <w:kern w:val="0"/>
          <w:sz w:val="20"/>
          <w:lang w:eastAsia="en-US"/>
        </w:rPr>
        <w:t xml:space="preserve"> 6(3): 339-356.</w:t>
      </w:r>
    </w:p>
    <w:p w14:paraId="1E5CDCBA"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Gyi, D.E., Porter, J.M. &amp; Robertson, N.K., 1998. Seat pressure measurement technologies: considerations for their evaluation. </w:t>
      </w:r>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29(2): 85-91.</w:t>
      </w:r>
    </w:p>
    <w:p w14:paraId="6B8C7E2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Hirao, K., </w:t>
      </w:r>
      <w:proofErr w:type="spellStart"/>
      <w:r w:rsidRPr="00181530">
        <w:rPr>
          <w:rFonts w:ascii="Times New Roman" w:eastAsia="Times New Roman" w:hAnsi="Times New Roman" w:cs="Times New Roman"/>
          <w:noProof w:val="0"/>
          <w:kern w:val="0"/>
          <w:sz w:val="20"/>
          <w:lang w:eastAsia="en-US"/>
        </w:rPr>
        <w:t>Kitazaki</w:t>
      </w:r>
      <w:proofErr w:type="spellEnd"/>
      <w:r w:rsidRPr="00181530">
        <w:rPr>
          <w:rFonts w:ascii="Times New Roman" w:eastAsia="Times New Roman" w:hAnsi="Times New Roman" w:cs="Times New Roman"/>
          <w:noProof w:val="0"/>
          <w:kern w:val="0"/>
          <w:sz w:val="20"/>
          <w:lang w:eastAsia="en-US"/>
        </w:rPr>
        <w:t xml:space="preserve">, S. &amp; Yamazaki, N. 2006. Development of new driving posture focused on biomechanical loads. </w:t>
      </w:r>
      <w:r w:rsidRPr="00D22610">
        <w:rPr>
          <w:rFonts w:ascii="Times New Roman" w:eastAsia="Times New Roman" w:hAnsi="Times New Roman" w:cs="Times New Roman"/>
          <w:i/>
          <w:noProof w:val="0"/>
          <w:kern w:val="0"/>
          <w:sz w:val="20"/>
          <w:lang w:eastAsia="en-US"/>
        </w:rPr>
        <w:t>SAE International Journal</w:t>
      </w:r>
      <w:r w:rsidRPr="00181530">
        <w:rPr>
          <w:rFonts w:ascii="Times New Roman" w:eastAsia="Times New Roman" w:hAnsi="Times New Roman" w:cs="Times New Roman"/>
          <w:noProof w:val="0"/>
          <w:kern w:val="0"/>
          <w:sz w:val="20"/>
          <w:lang w:eastAsia="en-US"/>
        </w:rPr>
        <w:t xml:space="preserve"> 100</w:t>
      </w:r>
      <w:r w:rsidR="00C16E82">
        <w:rPr>
          <w:rFonts w:ascii="Times New Roman" w:eastAsia="Times New Roman" w:hAnsi="Times New Roman" w:cs="Times New Roman"/>
          <w:noProof w:val="0"/>
          <w:kern w:val="0"/>
          <w:sz w:val="20"/>
          <w:lang w:eastAsia="en-US"/>
        </w:rPr>
        <w:t>(3)</w:t>
      </w:r>
      <w:r w:rsidRPr="00181530">
        <w:rPr>
          <w:rFonts w:ascii="Times New Roman" w:eastAsia="Times New Roman" w:hAnsi="Times New Roman" w:cs="Times New Roman"/>
          <w:noProof w:val="0"/>
          <w:kern w:val="0"/>
          <w:sz w:val="20"/>
          <w:lang w:eastAsia="en-US"/>
        </w:rPr>
        <w:t>: 5-10.</w:t>
      </w:r>
    </w:p>
    <w:p w14:paraId="07D04296"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Kamp, I. 2012. The influence of car-seat design on its character experience. </w:t>
      </w:r>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43(2): 329-335. </w:t>
      </w:r>
    </w:p>
    <w:p w14:paraId="5B9732C2"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Keene, D. 2010. Guide for assessing ankle range of movement for the AIM trial. Oxford, UK: Ankle Injury Management (AIM).</w:t>
      </w:r>
    </w:p>
    <w:p w14:paraId="52831424"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Kyung, G. 2008. An integrated human factors approach to design and evaluation of the driver workspace and interface: driver perception, behaviour, and objective measures.</w:t>
      </w:r>
      <w:r w:rsidR="0030048A">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PhD Thesis, Virginia Polytechnic Institute and State University.</w:t>
      </w:r>
    </w:p>
    <w:p w14:paraId="09A896DA"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Maël, A., Etienne, P., &amp; Vincent, R. 2013. Multimodal approach to automobile driving comfort: The inﬂuence of visual setting on assessments of vibro-</w:t>
      </w:r>
      <w:proofErr w:type="spellStart"/>
      <w:r w:rsidRPr="00181530">
        <w:rPr>
          <w:rFonts w:ascii="Times New Roman" w:eastAsia="Times New Roman" w:hAnsi="Times New Roman" w:cs="Times New Roman"/>
          <w:noProof w:val="0"/>
          <w:kern w:val="0"/>
          <w:sz w:val="20"/>
          <w:lang w:eastAsia="en-US"/>
        </w:rPr>
        <w:t>accoustic</w:t>
      </w:r>
      <w:proofErr w:type="spellEnd"/>
      <w:r w:rsidRPr="00181530">
        <w:rPr>
          <w:rFonts w:ascii="Times New Roman" w:eastAsia="Times New Roman" w:hAnsi="Times New Roman" w:cs="Times New Roman"/>
          <w:noProof w:val="0"/>
          <w:kern w:val="0"/>
          <w:sz w:val="20"/>
          <w:lang w:eastAsia="en-US"/>
        </w:rPr>
        <w:t xml:space="preserve"> comfort in simulators. </w:t>
      </w:r>
      <w:r w:rsidRPr="00D22610">
        <w:rPr>
          <w:rFonts w:ascii="Times New Roman" w:eastAsia="Times New Roman" w:hAnsi="Times New Roman" w:cs="Times New Roman"/>
          <w:i/>
          <w:noProof w:val="0"/>
          <w:kern w:val="0"/>
          <w:sz w:val="20"/>
          <w:lang w:eastAsia="en-US"/>
        </w:rPr>
        <w:t>Applied Acoustics</w:t>
      </w:r>
      <w:r w:rsidRPr="00181530">
        <w:rPr>
          <w:rFonts w:ascii="Times New Roman" w:eastAsia="Times New Roman" w:hAnsi="Times New Roman" w:cs="Times New Roman"/>
          <w:noProof w:val="0"/>
          <w:kern w:val="0"/>
          <w:sz w:val="20"/>
          <w:lang w:eastAsia="en-US"/>
        </w:rPr>
        <w:t xml:space="preserve"> 74(12): 1378-1387.</w:t>
      </w:r>
    </w:p>
    <w:p w14:paraId="23AFE0A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Mansfield, N. J., </w:t>
      </w:r>
      <w:proofErr w:type="spellStart"/>
      <w:r w:rsidRPr="00181530">
        <w:rPr>
          <w:rFonts w:ascii="Times New Roman" w:eastAsia="Times New Roman" w:hAnsi="Times New Roman" w:cs="Times New Roman"/>
          <w:noProof w:val="0"/>
          <w:kern w:val="0"/>
          <w:sz w:val="20"/>
          <w:lang w:eastAsia="en-US"/>
        </w:rPr>
        <w:t>Sammonds</w:t>
      </w:r>
      <w:proofErr w:type="spellEnd"/>
      <w:r w:rsidRPr="00181530">
        <w:rPr>
          <w:rFonts w:ascii="Times New Roman" w:eastAsia="Times New Roman" w:hAnsi="Times New Roman" w:cs="Times New Roman"/>
          <w:noProof w:val="0"/>
          <w:kern w:val="0"/>
          <w:sz w:val="20"/>
          <w:lang w:eastAsia="en-US"/>
        </w:rPr>
        <w:t xml:space="preserve">, G., </w:t>
      </w:r>
      <w:proofErr w:type="spellStart"/>
      <w:r w:rsidRPr="00181530">
        <w:rPr>
          <w:rFonts w:ascii="Times New Roman" w:eastAsia="Times New Roman" w:hAnsi="Times New Roman" w:cs="Times New Roman"/>
          <w:noProof w:val="0"/>
          <w:kern w:val="0"/>
          <w:sz w:val="20"/>
          <w:lang w:eastAsia="en-US"/>
        </w:rPr>
        <w:t>Darwazeh</w:t>
      </w:r>
      <w:proofErr w:type="spellEnd"/>
      <w:r w:rsidRPr="00181530">
        <w:rPr>
          <w:rFonts w:ascii="Times New Roman" w:eastAsia="Times New Roman" w:hAnsi="Times New Roman" w:cs="Times New Roman"/>
          <w:noProof w:val="0"/>
          <w:kern w:val="0"/>
          <w:sz w:val="20"/>
          <w:lang w:eastAsia="en-US"/>
        </w:rPr>
        <w:t xml:space="preserve">, N., Massoud, S., </w:t>
      </w:r>
      <w:proofErr w:type="spellStart"/>
      <w:r w:rsidRPr="00181530">
        <w:rPr>
          <w:rFonts w:ascii="Times New Roman" w:eastAsia="Times New Roman" w:hAnsi="Times New Roman" w:cs="Times New Roman"/>
          <w:noProof w:val="0"/>
          <w:kern w:val="0"/>
          <w:sz w:val="20"/>
          <w:lang w:eastAsia="en-US"/>
        </w:rPr>
        <w:t>Mocio</w:t>
      </w:r>
      <w:proofErr w:type="spellEnd"/>
      <w:r w:rsidRPr="00181530">
        <w:rPr>
          <w:rFonts w:ascii="Times New Roman" w:eastAsia="Times New Roman" w:hAnsi="Times New Roman" w:cs="Times New Roman"/>
          <w:noProof w:val="0"/>
          <w:kern w:val="0"/>
          <w:sz w:val="20"/>
          <w:lang w:eastAsia="en-US"/>
        </w:rPr>
        <w:t>, A., Patel, T., &amp; Sehdev, A. 2017. Movement analysis to indicate discomfort in vehicle seats.</w:t>
      </w:r>
      <w:r w:rsidRPr="00D22610">
        <w:rPr>
          <w:rFonts w:ascii="Times New Roman" w:eastAsia="Times New Roman" w:hAnsi="Times New Roman" w:cs="Times New Roman"/>
          <w:i/>
          <w:noProof w:val="0"/>
          <w:kern w:val="0"/>
          <w:sz w:val="20"/>
          <w:lang w:eastAsia="en-US"/>
        </w:rPr>
        <w:t xml:space="preserve">1st International </w:t>
      </w:r>
      <w:r w:rsidRPr="00D22610">
        <w:rPr>
          <w:rFonts w:ascii="Times New Roman" w:eastAsia="Times New Roman" w:hAnsi="Times New Roman" w:cs="Times New Roman"/>
          <w:i/>
          <w:noProof w:val="0"/>
          <w:kern w:val="0"/>
          <w:sz w:val="20"/>
          <w:lang w:eastAsia="en-US"/>
        </w:rPr>
        <w:t>Comfort Congress</w:t>
      </w:r>
      <w:r w:rsidR="00DA0D37">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 xml:space="preserve">7-8 </w:t>
      </w:r>
    </w:p>
    <w:p w14:paraId="2D49DD4E"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Mossey, M. E., Xi, Y., McConomy, S.K., Brooks, J.O., </w:t>
      </w:r>
      <w:proofErr w:type="spellStart"/>
      <w:r w:rsidRPr="00181530">
        <w:rPr>
          <w:rFonts w:ascii="Times New Roman" w:eastAsia="Times New Roman" w:hAnsi="Times New Roman" w:cs="Times New Roman"/>
          <w:noProof w:val="0"/>
          <w:kern w:val="0"/>
          <w:sz w:val="20"/>
          <w:lang w:eastAsia="en-US"/>
        </w:rPr>
        <w:t>Rosopa</w:t>
      </w:r>
      <w:proofErr w:type="spellEnd"/>
      <w:r w:rsidRPr="00181530">
        <w:rPr>
          <w:rFonts w:ascii="Times New Roman" w:eastAsia="Times New Roman" w:hAnsi="Times New Roman" w:cs="Times New Roman"/>
          <w:noProof w:val="0"/>
          <w:kern w:val="0"/>
          <w:sz w:val="20"/>
          <w:lang w:eastAsia="en-US"/>
        </w:rPr>
        <w:t xml:space="preserve">, P.J., &amp; </w:t>
      </w:r>
      <w:proofErr w:type="spellStart"/>
      <w:r w:rsidRPr="00181530">
        <w:rPr>
          <w:rFonts w:ascii="Times New Roman" w:eastAsia="Times New Roman" w:hAnsi="Times New Roman" w:cs="Times New Roman"/>
          <w:noProof w:val="0"/>
          <w:kern w:val="0"/>
          <w:sz w:val="20"/>
          <w:lang w:eastAsia="en-US"/>
        </w:rPr>
        <w:t>Venhovens</w:t>
      </w:r>
      <w:proofErr w:type="spellEnd"/>
      <w:r w:rsidRPr="00181530">
        <w:rPr>
          <w:rFonts w:ascii="Times New Roman" w:eastAsia="Times New Roman" w:hAnsi="Times New Roman" w:cs="Times New Roman"/>
          <w:noProof w:val="0"/>
          <w:kern w:val="0"/>
          <w:sz w:val="20"/>
          <w:lang w:eastAsia="en-US"/>
        </w:rPr>
        <w:t xml:space="preserve">, P.J. 2014. Evaluation of four steering wheels to determine driver hand placement in a static environment. </w:t>
      </w:r>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45(4): 1187-1195. </w:t>
      </w:r>
    </w:p>
    <w:p w14:paraId="05BBB821" w14:textId="77777777" w:rsidR="00181530" w:rsidRPr="00D22610" w:rsidRDefault="00181530" w:rsidP="00D22610">
      <w:pPr>
        <w:ind w:left="567" w:hanging="567"/>
        <w:jc w:val="both"/>
        <w:rPr>
          <w:sz w:val="20"/>
          <w:szCs w:val="20"/>
        </w:rPr>
      </w:pPr>
      <w:r w:rsidRPr="00D22610">
        <w:rPr>
          <w:sz w:val="20"/>
          <w:szCs w:val="20"/>
        </w:rPr>
        <w:t xml:space="preserve">Porter, J.M. &amp; Gyi, D.E. 1995. Low back trouble and driving. </w:t>
      </w:r>
      <w:r w:rsidRPr="00D22610">
        <w:rPr>
          <w:i/>
          <w:sz w:val="20"/>
          <w:szCs w:val="20"/>
        </w:rPr>
        <w:t>Proceedings of the 2nd International Scientific Conference on Prevention of Work-related Muscul</w:t>
      </w:r>
      <w:r w:rsidR="00DA0D37">
        <w:rPr>
          <w:i/>
          <w:sz w:val="20"/>
          <w:szCs w:val="20"/>
        </w:rPr>
        <w:t>oskeletal Disorders (PREMUS'95)</w:t>
      </w:r>
      <w:r w:rsidRPr="00D22610">
        <w:rPr>
          <w:sz w:val="20"/>
          <w:szCs w:val="20"/>
        </w:rPr>
        <w:t xml:space="preserve"> 117-119. </w:t>
      </w:r>
    </w:p>
    <w:p w14:paraId="0D9385B6"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Rudin-Brown, C. M., Edquist, J., &amp; </w:t>
      </w:r>
      <w:proofErr w:type="spellStart"/>
      <w:r w:rsidRPr="00181530">
        <w:rPr>
          <w:rFonts w:ascii="Times New Roman" w:eastAsia="Times New Roman" w:hAnsi="Times New Roman" w:cs="Times New Roman"/>
          <w:noProof w:val="0"/>
          <w:kern w:val="0"/>
          <w:sz w:val="20"/>
          <w:lang w:eastAsia="en-US"/>
        </w:rPr>
        <w:t>Lenné</w:t>
      </w:r>
      <w:proofErr w:type="spellEnd"/>
      <w:r w:rsidRPr="00181530">
        <w:rPr>
          <w:rFonts w:ascii="Times New Roman" w:eastAsia="Times New Roman" w:hAnsi="Times New Roman" w:cs="Times New Roman"/>
          <w:noProof w:val="0"/>
          <w:kern w:val="0"/>
          <w:sz w:val="20"/>
          <w:lang w:eastAsia="en-US"/>
        </w:rPr>
        <w:t xml:space="preserve">, M. G. 2014. Effects of driving experience and sensation-seeking on drivers’ adaptation to road environment complexity. </w:t>
      </w:r>
      <w:r w:rsidRPr="00D22610">
        <w:rPr>
          <w:rFonts w:ascii="Times New Roman" w:eastAsia="Times New Roman" w:hAnsi="Times New Roman" w:cs="Times New Roman"/>
          <w:i/>
          <w:noProof w:val="0"/>
          <w:kern w:val="0"/>
          <w:sz w:val="20"/>
          <w:lang w:eastAsia="en-US"/>
        </w:rPr>
        <w:t>Safety Science</w:t>
      </w:r>
      <w:r w:rsidRPr="00181530">
        <w:rPr>
          <w:rFonts w:ascii="Times New Roman" w:eastAsia="Times New Roman" w:hAnsi="Times New Roman" w:cs="Times New Roman"/>
          <w:noProof w:val="0"/>
          <w:kern w:val="0"/>
          <w:sz w:val="20"/>
          <w:lang w:eastAsia="en-US"/>
        </w:rPr>
        <w:t xml:space="preserve"> 62</w:t>
      </w:r>
      <w:r w:rsidR="00C16E82">
        <w:rPr>
          <w:rFonts w:ascii="Times New Roman" w:eastAsia="Times New Roman" w:hAnsi="Times New Roman" w:cs="Times New Roman"/>
          <w:noProof w:val="0"/>
          <w:kern w:val="0"/>
          <w:sz w:val="20"/>
          <w:lang w:eastAsia="en-US"/>
        </w:rPr>
        <w:t>(3)</w:t>
      </w:r>
      <w:r w:rsidRPr="00181530">
        <w:rPr>
          <w:rFonts w:ascii="Times New Roman" w:eastAsia="Times New Roman" w:hAnsi="Times New Roman" w:cs="Times New Roman"/>
          <w:noProof w:val="0"/>
          <w:kern w:val="0"/>
          <w:sz w:val="20"/>
          <w:lang w:eastAsia="en-US"/>
        </w:rPr>
        <w:t xml:space="preserve">: 121-129. </w:t>
      </w:r>
    </w:p>
    <w:p w14:paraId="6F7D41AD"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Tanaka, Y., </w:t>
      </w:r>
      <w:proofErr w:type="spellStart"/>
      <w:r w:rsidRPr="00181530">
        <w:rPr>
          <w:rFonts w:ascii="Times New Roman" w:eastAsia="Times New Roman" w:hAnsi="Times New Roman" w:cs="Times New Roman"/>
          <w:noProof w:val="0"/>
          <w:kern w:val="0"/>
          <w:sz w:val="20"/>
          <w:lang w:eastAsia="en-US"/>
        </w:rPr>
        <w:t>Kaneyuki</w:t>
      </w:r>
      <w:proofErr w:type="spellEnd"/>
      <w:r w:rsidRPr="00181530">
        <w:rPr>
          <w:rFonts w:ascii="Times New Roman" w:eastAsia="Times New Roman" w:hAnsi="Times New Roman" w:cs="Times New Roman"/>
          <w:noProof w:val="0"/>
          <w:kern w:val="0"/>
          <w:sz w:val="20"/>
          <w:lang w:eastAsia="en-US"/>
        </w:rPr>
        <w:t xml:space="preserve">, H., Tsuji, T., Miyazaki, T., Nishikawa, K., &amp; </w:t>
      </w:r>
      <w:proofErr w:type="spellStart"/>
      <w:r w:rsidRPr="00181530">
        <w:rPr>
          <w:rFonts w:ascii="Times New Roman" w:eastAsia="Times New Roman" w:hAnsi="Times New Roman" w:cs="Times New Roman"/>
          <w:noProof w:val="0"/>
          <w:kern w:val="0"/>
          <w:sz w:val="20"/>
          <w:lang w:eastAsia="en-US"/>
        </w:rPr>
        <w:t>Nouzawa</w:t>
      </w:r>
      <w:proofErr w:type="spellEnd"/>
      <w:r w:rsidRPr="00181530">
        <w:rPr>
          <w:rFonts w:ascii="Times New Roman" w:eastAsia="Times New Roman" w:hAnsi="Times New Roman" w:cs="Times New Roman"/>
          <w:noProof w:val="0"/>
          <w:kern w:val="0"/>
          <w:sz w:val="20"/>
          <w:lang w:eastAsia="en-US"/>
        </w:rPr>
        <w:t xml:space="preserve">, T. 2009. Mechanical and perceptual analyses of human foot movements in pedal operation. </w:t>
      </w:r>
      <w:r w:rsidRPr="00D22610">
        <w:rPr>
          <w:rFonts w:ascii="Times New Roman" w:eastAsia="Times New Roman" w:hAnsi="Times New Roman" w:cs="Times New Roman"/>
          <w:i/>
          <w:noProof w:val="0"/>
          <w:kern w:val="0"/>
          <w:sz w:val="20"/>
          <w:lang w:eastAsia="en-US"/>
        </w:rPr>
        <w:t>Conference Proceedings - IEEE International Conference on Systems, Man and Cybernetics</w:t>
      </w:r>
      <w:r w:rsidRPr="00181530">
        <w:rPr>
          <w:rFonts w:ascii="Times New Roman" w:eastAsia="Times New Roman" w:hAnsi="Times New Roman" w:cs="Times New Roman"/>
          <w:noProof w:val="0"/>
          <w:kern w:val="0"/>
          <w:sz w:val="20"/>
          <w:lang w:eastAsia="en-US"/>
        </w:rPr>
        <w:t xml:space="preserve"> 1674-1679.</w:t>
      </w:r>
    </w:p>
    <w:p w14:paraId="334D6A4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Vilimek, M., Horak, Z., &amp; Petr, K. 2011. Optimization of shift lever position. </w:t>
      </w:r>
      <w:r w:rsidRPr="00D22610">
        <w:rPr>
          <w:rFonts w:ascii="Times New Roman" w:eastAsia="Times New Roman" w:hAnsi="Times New Roman" w:cs="Times New Roman"/>
          <w:i/>
          <w:noProof w:val="0"/>
          <w:kern w:val="0"/>
          <w:sz w:val="20"/>
          <w:lang w:eastAsia="en-US"/>
        </w:rPr>
        <w:t>Journal of Chemical Information and Modeling</w:t>
      </w:r>
      <w:r w:rsidR="00DA0D37">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53: 1689-1699.</w:t>
      </w:r>
    </w:p>
    <w:p w14:paraId="3BF31D4E"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Wang, X., Le Breton-</w:t>
      </w:r>
      <w:proofErr w:type="spellStart"/>
      <w:r w:rsidRPr="00181530">
        <w:rPr>
          <w:rFonts w:ascii="Times New Roman" w:eastAsia="Times New Roman" w:hAnsi="Times New Roman" w:cs="Times New Roman"/>
          <w:noProof w:val="0"/>
          <w:kern w:val="0"/>
          <w:sz w:val="20"/>
          <w:lang w:eastAsia="en-US"/>
        </w:rPr>
        <w:t>Gadegbeku</w:t>
      </w:r>
      <w:proofErr w:type="spellEnd"/>
      <w:r w:rsidRPr="00181530">
        <w:rPr>
          <w:rFonts w:ascii="Times New Roman" w:eastAsia="Times New Roman" w:hAnsi="Times New Roman" w:cs="Times New Roman"/>
          <w:noProof w:val="0"/>
          <w:kern w:val="0"/>
          <w:sz w:val="20"/>
          <w:lang w:eastAsia="en-US"/>
        </w:rPr>
        <w:t xml:space="preserve">, B., &amp; </w:t>
      </w:r>
      <w:proofErr w:type="spellStart"/>
      <w:r w:rsidRPr="00181530">
        <w:rPr>
          <w:rFonts w:ascii="Times New Roman" w:eastAsia="Times New Roman" w:hAnsi="Times New Roman" w:cs="Times New Roman"/>
          <w:noProof w:val="0"/>
          <w:kern w:val="0"/>
          <w:sz w:val="20"/>
          <w:lang w:eastAsia="en-US"/>
        </w:rPr>
        <w:t>Bouzon</w:t>
      </w:r>
      <w:proofErr w:type="spellEnd"/>
      <w:r w:rsidRPr="00181530">
        <w:rPr>
          <w:rFonts w:ascii="Times New Roman" w:eastAsia="Times New Roman" w:hAnsi="Times New Roman" w:cs="Times New Roman"/>
          <w:noProof w:val="0"/>
          <w:kern w:val="0"/>
          <w:sz w:val="20"/>
          <w:lang w:eastAsia="en-US"/>
        </w:rPr>
        <w:t xml:space="preserve">, L. 2004. Biomechanical evaluation of the comfort of automobile clutch pedal operation. </w:t>
      </w:r>
      <w:r w:rsidRPr="00D22610">
        <w:rPr>
          <w:rFonts w:ascii="Times New Roman" w:eastAsia="Times New Roman" w:hAnsi="Times New Roman" w:cs="Times New Roman"/>
          <w:i/>
          <w:noProof w:val="0"/>
          <w:kern w:val="0"/>
          <w:sz w:val="20"/>
          <w:lang w:eastAsia="en-US"/>
        </w:rPr>
        <w:t>International Journal of Industrial Ergonomics</w:t>
      </w:r>
      <w:r w:rsidRPr="00181530">
        <w:rPr>
          <w:rFonts w:ascii="Times New Roman" w:eastAsia="Times New Roman" w:hAnsi="Times New Roman" w:cs="Times New Roman"/>
          <w:noProof w:val="0"/>
          <w:kern w:val="0"/>
          <w:sz w:val="20"/>
          <w:lang w:eastAsia="en-US"/>
        </w:rPr>
        <w:t xml:space="preserve"> 34(3): 209-221.</w:t>
      </w:r>
    </w:p>
    <w:p w14:paraId="78B8084F" w14:textId="77777777" w:rsidR="00AF34FD" w:rsidRDefault="00181530" w:rsidP="00181530">
      <w:pPr>
        <w:pStyle w:val="EndNoteBibliography"/>
        <w:ind w:left="567" w:hanging="567"/>
        <w:rPr>
          <w:rFonts w:ascii="Times New Roman" w:hAnsi="Times New Roman" w:cs="Times New Roman"/>
          <w:sz w:val="20"/>
        </w:rPr>
      </w:pPr>
      <w:r w:rsidRPr="00181530">
        <w:rPr>
          <w:rFonts w:ascii="Times New Roman" w:eastAsia="Times New Roman" w:hAnsi="Times New Roman" w:cs="Times New Roman"/>
          <w:noProof w:val="0"/>
          <w:kern w:val="0"/>
          <w:sz w:val="20"/>
          <w:lang w:eastAsia="en-US"/>
        </w:rPr>
        <w:t xml:space="preserve">Yusoff, A. R., </w:t>
      </w:r>
      <w:proofErr w:type="spellStart"/>
      <w:r w:rsidRPr="00181530">
        <w:rPr>
          <w:rFonts w:ascii="Times New Roman" w:eastAsia="Times New Roman" w:hAnsi="Times New Roman" w:cs="Times New Roman"/>
          <w:noProof w:val="0"/>
          <w:kern w:val="0"/>
          <w:sz w:val="20"/>
          <w:lang w:eastAsia="en-US"/>
        </w:rPr>
        <w:t>Deros</w:t>
      </w:r>
      <w:proofErr w:type="spellEnd"/>
      <w:r w:rsidRPr="00181530">
        <w:rPr>
          <w:rFonts w:ascii="Times New Roman" w:eastAsia="Times New Roman" w:hAnsi="Times New Roman" w:cs="Times New Roman"/>
          <w:noProof w:val="0"/>
          <w:kern w:val="0"/>
          <w:sz w:val="20"/>
          <w:lang w:eastAsia="en-US"/>
        </w:rPr>
        <w:t xml:space="preserve">, B.M, and Daruis, D.D.I. 2012. Vibration transmissibility on foot during controlling and Operating Car Accelerator Pedal. </w:t>
      </w:r>
      <w:r w:rsidRPr="00D22610">
        <w:rPr>
          <w:rFonts w:ascii="Times New Roman" w:eastAsia="Times New Roman" w:hAnsi="Times New Roman" w:cs="Times New Roman"/>
          <w:i/>
          <w:noProof w:val="0"/>
          <w:kern w:val="0"/>
          <w:sz w:val="20"/>
          <w:lang w:eastAsia="en-US"/>
        </w:rPr>
        <w:t>Proceedings of 4th International Conference on Noise, Vibration and Comfort (NVC 2012)</w:t>
      </w:r>
      <w:r w:rsidR="00DA0D37">
        <w:rPr>
          <w:rFonts w:ascii="Times New Roman" w:eastAsia="Times New Roman" w:hAnsi="Times New Roman" w:cs="Times New Roman"/>
          <w:noProof w:val="0"/>
          <w:kern w:val="0"/>
          <w:sz w:val="20"/>
          <w:lang w:eastAsia="en-US"/>
        </w:rPr>
        <w:t xml:space="preserve"> </w:t>
      </w:r>
      <w:r w:rsidR="00C16E82">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210-215.</w:t>
      </w:r>
    </w:p>
    <w:p w14:paraId="4723A9C6" w14:textId="77777777" w:rsidR="00AF34FD" w:rsidRDefault="00AF34FD" w:rsidP="00AF34FD">
      <w:pPr>
        <w:pStyle w:val="EndNoteBibliography"/>
        <w:ind w:left="720" w:hanging="720"/>
        <w:rPr>
          <w:rFonts w:ascii="Times New Roman" w:hAnsi="Times New Roman" w:cs="Times New Roman"/>
          <w:sz w:val="20"/>
        </w:rPr>
      </w:pPr>
    </w:p>
    <w:p w14:paraId="3E34DA23" w14:textId="77777777" w:rsidR="00C91ADB" w:rsidRDefault="00C91ADB" w:rsidP="00AF34FD">
      <w:pPr>
        <w:pStyle w:val="EndNoteBibliography"/>
        <w:ind w:left="720" w:hanging="720"/>
        <w:rPr>
          <w:rFonts w:ascii="Times New Roman" w:hAnsi="Times New Roman" w:cs="Times New Roman"/>
          <w:sz w:val="20"/>
        </w:rPr>
      </w:pPr>
    </w:p>
    <w:p w14:paraId="0CA135F4" w14:textId="77777777" w:rsidR="0030048A" w:rsidRPr="0030048A" w:rsidRDefault="0030048A" w:rsidP="0030048A">
      <w:pPr>
        <w:rPr>
          <w:sz w:val="20"/>
          <w:szCs w:val="20"/>
        </w:rPr>
        <w:sectPr w:rsidR="0030048A" w:rsidRPr="0030048A" w:rsidSect="0032639E">
          <w:type w:val="continuous"/>
          <w:pgSz w:w="11906" w:h="16838"/>
          <w:pgMar w:top="1440" w:right="1440" w:bottom="1440" w:left="1440" w:header="708" w:footer="708" w:gutter="0"/>
          <w:cols w:num="2" w:space="708"/>
          <w:docGrid w:linePitch="360"/>
        </w:sectPr>
      </w:pPr>
    </w:p>
    <w:p w14:paraId="1F9F7ED3" w14:textId="77777777" w:rsidR="0030048A" w:rsidRPr="0030048A" w:rsidRDefault="0030048A" w:rsidP="0030048A">
      <w:pPr>
        <w:rPr>
          <w:sz w:val="20"/>
          <w:szCs w:val="20"/>
        </w:rPr>
      </w:pPr>
      <w:r w:rsidRPr="0030048A">
        <w:rPr>
          <w:sz w:val="20"/>
          <w:szCs w:val="20"/>
        </w:rPr>
        <w:tab/>
      </w:r>
    </w:p>
    <w:p w14:paraId="44D12C6F" w14:textId="77777777" w:rsidR="0030048A" w:rsidRPr="0030048A" w:rsidRDefault="0030048A" w:rsidP="0030048A">
      <w:pPr>
        <w:rPr>
          <w:sz w:val="20"/>
          <w:szCs w:val="20"/>
        </w:rPr>
      </w:pPr>
    </w:p>
    <w:p w14:paraId="27A2789D" w14:textId="77777777" w:rsidR="0030048A" w:rsidRPr="0030048A" w:rsidRDefault="0030048A" w:rsidP="0030048A">
      <w:pPr>
        <w:rPr>
          <w:sz w:val="20"/>
          <w:szCs w:val="20"/>
        </w:rPr>
        <w:sectPr w:rsidR="0030048A" w:rsidRPr="0030048A" w:rsidSect="0032639E">
          <w:type w:val="continuous"/>
          <w:pgSz w:w="11906" w:h="16838"/>
          <w:pgMar w:top="1440" w:right="1440" w:bottom="1440" w:left="1440" w:header="708" w:footer="708" w:gutter="0"/>
          <w:cols w:num="2" w:space="708"/>
          <w:docGrid w:linePitch="360"/>
        </w:sectPr>
      </w:pPr>
    </w:p>
    <w:p w14:paraId="1EF9F428" w14:textId="77777777" w:rsidR="00E17DBC" w:rsidRDefault="00E17DBC" w:rsidP="00AF34FD">
      <w:pPr>
        <w:pStyle w:val="BodyText"/>
        <w:spacing w:line="240" w:lineRule="auto"/>
        <w:ind w:firstLine="0"/>
        <w:contextualSpacing/>
        <w:jc w:val="both"/>
      </w:pPr>
    </w:p>
    <w:sectPr w:rsidR="00E17DBC" w:rsidSect="0032639E">
      <w:headerReference w:type="even" r:id="rId23"/>
      <w:headerReference w:type="default" r:id="rId24"/>
      <w:footerReference w:type="even" r:id="rId25"/>
      <w:footerReference w:type="default" r:id="rId26"/>
      <w:headerReference w:type="first" r:id="rId2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43D7" w14:textId="77777777" w:rsidR="001B4972" w:rsidRDefault="001B4972">
      <w:r>
        <w:separator/>
      </w:r>
    </w:p>
  </w:endnote>
  <w:endnote w:type="continuationSeparator" w:id="0">
    <w:p w14:paraId="6FD7B204" w14:textId="77777777" w:rsidR="001B4972" w:rsidRDefault="001B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B2E" w14:textId="77777777" w:rsidR="00AF34FD" w:rsidRDefault="00AF34FD" w:rsidP="004C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FB2FFE" w14:textId="77777777" w:rsidR="00AF34FD" w:rsidRDefault="00AF34FD" w:rsidP="004C0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9C10" w14:textId="4B2C958E" w:rsidR="00AF34FD" w:rsidRDefault="00AF34FD">
    <w:pPr>
      <w:pStyle w:val="Footer"/>
      <w:jc w:val="right"/>
    </w:pPr>
    <w:r>
      <w:fldChar w:fldCharType="begin"/>
    </w:r>
    <w:r>
      <w:instrText xml:space="preserve"> PAGE   \* MERGEFORMAT </w:instrText>
    </w:r>
    <w:r>
      <w:fldChar w:fldCharType="separate"/>
    </w:r>
    <w:r w:rsidR="00953129">
      <w:rPr>
        <w:noProof/>
      </w:rPr>
      <w:t>1</w:t>
    </w:r>
    <w:r>
      <w:fldChar w:fldCharType="end"/>
    </w:r>
  </w:p>
  <w:p w14:paraId="5424BC12" w14:textId="77777777" w:rsidR="00AF34FD" w:rsidRDefault="00AF34FD" w:rsidP="004C03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F31B" w14:textId="77777777" w:rsidR="00E81F1B" w:rsidRDefault="001E3BD6" w:rsidP="004C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D1EC9" w14:textId="77777777" w:rsidR="00E81F1B" w:rsidRDefault="00E81F1B" w:rsidP="004C0358">
    <w:pPr>
      <w:pStyle w:val="Footer"/>
      <w:ind w:right="360"/>
    </w:pPr>
  </w:p>
  <w:p w14:paraId="6212E5E6" w14:textId="77777777" w:rsidR="00EA232F" w:rsidRDefault="00EA23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D554" w14:textId="77777777" w:rsidR="00E81F1B" w:rsidRDefault="001E3BD6">
    <w:pPr>
      <w:pStyle w:val="Footer"/>
      <w:jc w:val="right"/>
    </w:pPr>
    <w:r>
      <w:fldChar w:fldCharType="begin"/>
    </w:r>
    <w:r>
      <w:instrText xml:space="preserve"> PAGE   \* MERGEFORMAT </w:instrText>
    </w:r>
    <w:r>
      <w:fldChar w:fldCharType="separate"/>
    </w:r>
    <w:r w:rsidR="0030048A">
      <w:rPr>
        <w:noProof/>
      </w:rPr>
      <w:t>7</w:t>
    </w:r>
    <w:r>
      <w:fldChar w:fldCharType="end"/>
    </w:r>
  </w:p>
  <w:p w14:paraId="3400E8F5" w14:textId="77777777" w:rsidR="00E81F1B" w:rsidRDefault="00E81F1B" w:rsidP="004C0358">
    <w:pPr>
      <w:pStyle w:val="Footer"/>
      <w:ind w:right="360"/>
    </w:pPr>
  </w:p>
  <w:p w14:paraId="21F5D8FF" w14:textId="77777777" w:rsidR="00EA232F" w:rsidRDefault="00EA23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FCAC" w14:textId="77777777" w:rsidR="001B4972" w:rsidRDefault="001B4972">
      <w:r>
        <w:separator/>
      </w:r>
    </w:p>
  </w:footnote>
  <w:footnote w:type="continuationSeparator" w:id="0">
    <w:p w14:paraId="355C865C" w14:textId="77777777" w:rsidR="001B4972" w:rsidRDefault="001B4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8FFF" w14:textId="77777777" w:rsidR="00AF34FD" w:rsidRDefault="00AF34FD">
    <w:pPr>
      <w:pStyle w:val="Header"/>
    </w:pPr>
    <w:r>
      <w:rPr>
        <w:noProof/>
        <w:lang w:val="en-MY" w:eastAsia="en-MY"/>
      </w:rPr>
      <mc:AlternateContent>
        <mc:Choice Requires="wps">
          <w:drawing>
            <wp:anchor distT="0" distB="0" distL="114300" distR="114300" simplePos="0" relativeHeight="251657216" behindDoc="1" locked="0" layoutInCell="0" allowOverlap="1" wp14:anchorId="131744D4" wp14:editId="7EB84597">
              <wp:simplePos x="0" y="0"/>
              <wp:positionH relativeFrom="margin">
                <wp:align>center</wp:align>
              </wp:positionH>
              <wp:positionV relativeFrom="margin">
                <wp:align>center</wp:align>
              </wp:positionV>
              <wp:extent cx="5656580" cy="2423795"/>
              <wp:effectExtent l="0" t="1066800" r="0" b="1071880"/>
              <wp:wrapNone/>
              <wp:docPr id="1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6580" cy="2423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6F1340" w14:textId="77777777" w:rsidR="00AF34FD" w:rsidRDefault="00AF34FD" w:rsidP="00AF34FD">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In Press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744D4" id="_x0000_t202" coordsize="21600,21600" o:spt="202" path="m,l,21600r21600,l21600,xe">
              <v:stroke joinstyle="miter"/>
              <v:path gradientshapeok="t" o:connecttype="rect"/>
            </v:shapetype>
            <v:shape id="WordArt 2" o:spid="_x0000_s1026" type="#_x0000_t202" style="position:absolute;margin-left:0;margin-top:0;width:445.4pt;height:190.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" o:allowincell="f" filled="f" stroked="f">
              <v:stroke joinstyle="round"/>
              <o:lock v:ext="edit" shapetype="t"/>
              <v:textbox style="mso-fit-shape-to-text:t">
                <w:txbxContent>
                  <w:p w14:paraId="436F1340" w14:textId="77777777" w:rsidR="00AF34FD" w:rsidRDefault="00AF34FD" w:rsidP="00AF34FD">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In Press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9644" w14:textId="59F4168B" w:rsidR="00042043" w:rsidRDefault="00042043" w:rsidP="00042043">
    <w:pPr>
      <w:pStyle w:val="Pa7"/>
      <w:ind w:hanging="2"/>
      <w:jc w:val="center"/>
      <w:rPr>
        <w:color w:val="221E1F"/>
        <w:sz w:val="20"/>
        <w:szCs w:val="20"/>
      </w:rPr>
    </w:pPr>
    <w:bookmarkStart w:id="0" w:name="_Hlk149293168"/>
    <w:bookmarkStart w:id="1" w:name="_Hlk149293555"/>
    <w:bookmarkStart w:id="2" w:name="_Hlk149293556"/>
    <w:bookmarkStart w:id="3" w:name="_Hlk158021490"/>
    <w:bookmarkStart w:id="4" w:name="_Hlk158021491"/>
    <w:r>
      <w:rPr>
        <w:color w:val="221E1F"/>
        <w:sz w:val="20"/>
        <w:szCs w:val="20"/>
      </w:rPr>
      <w:t>Jurnal Kejuruteraan 3</w:t>
    </w:r>
    <w:r w:rsidR="008F4700">
      <w:rPr>
        <w:color w:val="221E1F"/>
        <w:sz w:val="20"/>
        <w:szCs w:val="20"/>
      </w:rPr>
      <w:t>7</w:t>
    </w:r>
    <w:r>
      <w:rPr>
        <w:color w:val="221E1F"/>
        <w:sz w:val="20"/>
        <w:szCs w:val="20"/>
      </w:rPr>
      <w:t>(x) 202</w:t>
    </w:r>
    <w:r w:rsidR="008F4700">
      <w:rPr>
        <w:color w:val="221E1F"/>
        <w:sz w:val="20"/>
        <w:szCs w:val="20"/>
      </w:rPr>
      <w:t>5</w:t>
    </w:r>
    <w:r>
      <w:rPr>
        <w:color w:val="221E1F"/>
        <w:sz w:val="20"/>
        <w:szCs w:val="20"/>
      </w:rPr>
      <w:t>: xxx-xxx</w:t>
    </w:r>
  </w:p>
  <w:p w14:paraId="3F49A3E4" w14:textId="57E60E22" w:rsidR="00042043" w:rsidRDefault="00042043" w:rsidP="00042043">
    <w:pPr>
      <w:pStyle w:val="Header"/>
      <w:ind w:hanging="2"/>
      <w:jc w:val="center"/>
      <w:rPr>
        <w:color w:val="221E1F"/>
        <w:sz w:val="20"/>
        <w:szCs w:val="20"/>
      </w:rPr>
    </w:pPr>
    <w:r w:rsidRPr="00EC1D65">
      <w:rPr>
        <w:color w:val="221E1F"/>
        <w:sz w:val="20"/>
        <w:szCs w:val="20"/>
      </w:rPr>
      <w:t>https://doi.org/10.17576/jkukm-202</w:t>
    </w:r>
    <w:r w:rsidR="008F4700">
      <w:rPr>
        <w:color w:val="221E1F"/>
        <w:sz w:val="20"/>
        <w:szCs w:val="20"/>
        <w:lang w:val="en-US"/>
      </w:rPr>
      <w:t>5</w:t>
    </w:r>
    <w:r w:rsidRPr="00EC1D65">
      <w:rPr>
        <w:color w:val="221E1F"/>
        <w:sz w:val="20"/>
        <w:szCs w:val="20"/>
      </w:rPr>
      <w:t>-3</w:t>
    </w:r>
    <w:r w:rsidR="008F4700">
      <w:rPr>
        <w:color w:val="221E1F"/>
        <w:sz w:val="20"/>
        <w:szCs w:val="20"/>
        <w:lang w:val="en-US"/>
      </w:rPr>
      <w:t>7</w:t>
    </w:r>
    <w:r w:rsidRPr="00EC1D65">
      <w:rPr>
        <w:color w:val="221E1F"/>
        <w:sz w:val="20"/>
        <w:szCs w:val="20"/>
      </w:rPr>
      <w:t>(</w:t>
    </w:r>
    <w:r>
      <w:rPr>
        <w:color w:val="221E1F"/>
        <w:sz w:val="20"/>
        <w:szCs w:val="20"/>
        <w:lang w:val="en-US"/>
      </w:rPr>
      <w:t>X</w:t>
    </w:r>
    <w:r w:rsidRPr="00EC1D65">
      <w:rPr>
        <w:color w:val="221E1F"/>
        <w:sz w:val="20"/>
        <w:szCs w:val="20"/>
      </w:rPr>
      <w:t>)-</w:t>
    </w:r>
    <w:bookmarkEnd w:id="0"/>
    <w:r>
      <w:rPr>
        <w:color w:val="221E1F"/>
        <w:sz w:val="20"/>
        <w:szCs w:val="20"/>
      </w:rPr>
      <w:t>XX</w:t>
    </w:r>
  </w:p>
  <w:bookmarkEnd w:id="1"/>
  <w:bookmarkEnd w:id="2"/>
  <w:bookmarkEnd w:id="3"/>
  <w:bookmarkEnd w:id="4"/>
  <w:p w14:paraId="21CE68A5" w14:textId="77777777" w:rsidR="00AF34FD" w:rsidRPr="00D22D64" w:rsidRDefault="00AF34FD" w:rsidP="00D2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4C6E" w14:textId="77777777" w:rsidR="00680070" w:rsidRDefault="00680070">
    <w:pPr>
      <w:pStyle w:val="Header"/>
    </w:pPr>
  </w:p>
  <w:p w14:paraId="36CCD567" w14:textId="77777777" w:rsidR="00EA232F" w:rsidRDefault="00EA232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FB45" w14:textId="77777777" w:rsidR="0010460E" w:rsidRPr="005611A3" w:rsidRDefault="0010460E" w:rsidP="0010460E">
    <w:pPr>
      <w:rPr>
        <w:iCs/>
        <w:sz w:val="20"/>
        <w:szCs w:val="20"/>
      </w:rPr>
    </w:pPr>
    <w:r>
      <w:rPr>
        <w:iCs/>
        <w:sz w:val="20"/>
        <w:szCs w:val="20"/>
      </w:rPr>
      <w:t>Jurnal Kejuruteraan (</w:t>
    </w:r>
    <w:r w:rsidR="00291F57">
      <w:rPr>
        <w:i/>
        <w:iCs/>
        <w:sz w:val="20"/>
        <w:szCs w:val="20"/>
      </w:rPr>
      <w:t>Jo</w:t>
    </w:r>
    <w:r w:rsidR="00B53579">
      <w:rPr>
        <w:i/>
        <w:iCs/>
        <w:sz w:val="20"/>
        <w:szCs w:val="20"/>
      </w:rPr>
      <w:t>u</w:t>
    </w:r>
    <w:r w:rsidR="00291F57">
      <w:rPr>
        <w:i/>
        <w:iCs/>
        <w:sz w:val="20"/>
        <w:szCs w:val="20"/>
      </w:rPr>
      <w:t>rnal of Engineering</w:t>
    </w:r>
    <w:r>
      <w:rPr>
        <w:iCs/>
        <w:sz w:val="20"/>
        <w:szCs w:val="20"/>
      </w:rPr>
      <w:t xml:space="preserve">) </w:t>
    </w:r>
    <w:r w:rsidR="00680070">
      <w:rPr>
        <w:iCs/>
        <w:sz w:val="20"/>
        <w:szCs w:val="20"/>
      </w:rPr>
      <w:t>Online F</w:t>
    </w:r>
    <w:r w:rsidR="009474FE">
      <w:rPr>
        <w:iCs/>
        <w:sz w:val="20"/>
        <w:szCs w:val="20"/>
      </w:rPr>
      <w:t>irst DOI XXX 9 pages</w:t>
    </w:r>
  </w:p>
  <w:p w14:paraId="0B125FE9" w14:textId="77777777" w:rsidR="0010460E" w:rsidRPr="00484A94" w:rsidRDefault="0010460E" w:rsidP="0010460E">
    <w:pPr>
      <w:pStyle w:val="Header"/>
      <w:rPr>
        <w:sz w:val="20"/>
        <w:szCs w:val="20"/>
        <w:lang w:val="en-US"/>
      </w:rPr>
    </w:pPr>
    <w:r w:rsidRPr="00484A94">
      <w:rPr>
        <w:sz w:val="20"/>
        <w:szCs w:val="20"/>
        <w:lang w:val="en-US"/>
      </w:rPr>
      <w:t>ISSN</w:t>
    </w:r>
    <w:r>
      <w:rPr>
        <w:sz w:val="20"/>
        <w:szCs w:val="20"/>
        <w:lang w:val="en-US"/>
      </w:rPr>
      <w:t>:0128-0198 E-ISSN:2289-7526</w:t>
    </w:r>
  </w:p>
  <w:p w14:paraId="5AF618F4" w14:textId="77777777" w:rsidR="00E81F1B" w:rsidRPr="00D22D64" w:rsidRDefault="00E81F1B" w:rsidP="00D22D64">
    <w:pPr>
      <w:pStyle w:val="Header"/>
    </w:pPr>
  </w:p>
  <w:p w14:paraId="2E282208" w14:textId="77777777" w:rsidR="00EA232F" w:rsidRDefault="00EA232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1A3F" w14:textId="77777777" w:rsidR="008405D9" w:rsidRDefault="00840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1"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26EBC"/>
    <w:rsid w:val="00003061"/>
    <w:rsid w:val="00006C4F"/>
    <w:rsid w:val="00007E13"/>
    <w:rsid w:val="00021BA5"/>
    <w:rsid w:val="000234EE"/>
    <w:rsid w:val="000353A9"/>
    <w:rsid w:val="000370A0"/>
    <w:rsid w:val="00042043"/>
    <w:rsid w:val="00043EAA"/>
    <w:rsid w:val="00083603"/>
    <w:rsid w:val="0008510D"/>
    <w:rsid w:val="00086266"/>
    <w:rsid w:val="000A3734"/>
    <w:rsid w:val="000A6DBB"/>
    <w:rsid w:val="000B28A5"/>
    <w:rsid w:val="000B4964"/>
    <w:rsid w:val="000C2AB6"/>
    <w:rsid w:val="000C72AA"/>
    <w:rsid w:val="000C7D54"/>
    <w:rsid w:val="000D21BF"/>
    <w:rsid w:val="000D5E1F"/>
    <w:rsid w:val="000F08A1"/>
    <w:rsid w:val="000F192B"/>
    <w:rsid w:val="000F3487"/>
    <w:rsid w:val="00100B07"/>
    <w:rsid w:val="0010460E"/>
    <w:rsid w:val="00106B37"/>
    <w:rsid w:val="001070BE"/>
    <w:rsid w:val="00143052"/>
    <w:rsid w:val="00143B1D"/>
    <w:rsid w:val="0014466A"/>
    <w:rsid w:val="00156F0B"/>
    <w:rsid w:val="00163EBE"/>
    <w:rsid w:val="00172A4D"/>
    <w:rsid w:val="00173966"/>
    <w:rsid w:val="00177440"/>
    <w:rsid w:val="00181530"/>
    <w:rsid w:val="00183271"/>
    <w:rsid w:val="0018416D"/>
    <w:rsid w:val="00184766"/>
    <w:rsid w:val="0019734E"/>
    <w:rsid w:val="001A61C0"/>
    <w:rsid w:val="001B4972"/>
    <w:rsid w:val="001B700E"/>
    <w:rsid w:val="001B7CC6"/>
    <w:rsid w:val="001C0A12"/>
    <w:rsid w:val="001C6D37"/>
    <w:rsid w:val="001D16B7"/>
    <w:rsid w:val="001D2080"/>
    <w:rsid w:val="001D2430"/>
    <w:rsid w:val="001D3CF4"/>
    <w:rsid w:val="001D5C38"/>
    <w:rsid w:val="001E3BD6"/>
    <w:rsid w:val="001E5827"/>
    <w:rsid w:val="001F3DB1"/>
    <w:rsid w:val="001F5175"/>
    <w:rsid w:val="00202210"/>
    <w:rsid w:val="0020226C"/>
    <w:rsid w:val="00224F96"/>
    <w:rsid w:val="002272CA"/>
    <w:rsid w:val="002356CD"/>
    <w:rsid w:val="00262CA0"/>
    <w:rsid w:val="00265B2D"/>
    <w:rsid w:val="0026675D"/>
    <w:rsid w:val="002761AB"/>
    <w:rsid w:val="00277003"/>
    <w:rsid w:val="002825EB"/>
    <w:rsid w:val="00291F57"/>
    <w:rsid w:val="00297D08"/>
    <w:rsid w:val="002A068D"/>
    <w:rsid w:val="002A0C64"/>
    <w:rsid w:val="002A2E96"/>
    <w:rsid w:val="002A74EB"/>
    <w:rsid w:val="002A799C"/>
    <w:rsid w:val="002B494D"/>
    <w:rsid w:val="002B662F"/>
    <w:rsid w:val="002B7FD2"/>
    <w:rsid w:val="002C36FA"/>
    <w:rsid w:val="002D38DF"/>
    <w:rsid w:val="002D47AA"/>
    <w:rsid w:val="002E22B3"/>
    <w:rsid w:val="002F1B1D"/>
    <w:rsid w:val="0030048A"/>
    <w:rsid w:val="00310204"/>
    <w:rsid w:val="00316A1F"/>
    <w:rsid w:val="003243A5"/>
    <w:rsid w:val="0032639E"/>
    <w:rsid w:val="003401A6"/>
    <w:rsid w:val="0035227B"/>
    <w:rsid w:val="003567DB"/>
    <w:rsid w:val="00366958"/>
    <w:rsid w:val="003671AD"/>
    <w:rsid w:val="00372273"/>
    <w:rsid w:val="00372AFC"/>
    <w:rsid w:val="00373695"/>
    <w:rsid w:val="00375C64"/>
    <w:rsid w:val="00376CEE"/>
    <w:rsid w:val="00382D8A"/>
    <w:rsid w:val="00385019"/>
    <w:rsid w:val="003917C8"/>
    <w:rsid w:val="003927F1"/>
    <w:rsid w:val="003929C9"/>
    <w:rsid w:val="003B441F"/>
    <w:rsid w:val="003C24FC"/>
    <w:rsid w:val="003C5816"/>
    <w:rsid w:val="003D362C"/>
    <w:rsid w:val="003F4431"/>
    <w:rsid w:val="003F727A"/>
    <w:rsid w:val="003F7646"/>
    <w:rsid w:val="00400B4B"/>
    <w:rsid w:val="00407BEE"/>
    <w:rsid w:val="004231FE"/>
    <w:rsid w:val="0042428A"/>
    <w:rsid w:val="004264DD"/>
    <w:rsid w:val="00426635"/>
    <w:rsid w:val="00431891"/>
    <w:rsid w:val="004318F8"/>
    <w:rsid w:val="00431DD2"/>
    <w:rsid w:val="00442099"/>
    <w:rsid w:val="004420FD"/>
    <w:rsid w:val="004426D5"/>
    <w:rsid w:val="00457AA6"/>
    <w:rsid w:val="004629E6"/>
    <w:rsid w:val="004702A2"/>
    <w:rsid w:val="00471BCF"/>
    <w:rsid w:val="00474C71"/>
    <w:rsid w:val="00476266"/>
    <w:rsid w:val="004D1D56"/>
    <w:rsid w:val="004E0255"/>
    <w:rsid w:val="004E3A3D"/>
    <w:rsid w:val="004E59AA"/>
    <w:rsid w:val="004F260D"/>
    <w:rsid w:val="004F60D1"/>
    <w:rsid w:val="00506873"/>
    <w:rsid w:val="0051116F"/>
    <w:rsid w:val="00515BB5"/>
    <w:rsid w:val="0052662D"/>
    <w:rsid w:val="00527C24"/>
    <w:rsid w:val="00535344"/>
    <w:rsid w:val="005429DF"/>
    <w:rsid w:val="00544ABF"/>
    <w:rsid w:val="00545B0A"/>
    <w:rsid w:val="00575462"/>
    <w:rsid w:val="00581E13"/>
    <w:rsid w:val="00582029"/>
    <w:rsid w:val="00587078"/>
    <w:rsid w:val="00592CF1"/>
    <w:rsid w:val="00593861"/>
    <w:rsid w:val="005B1FDE"/>
    <w:rsid w:val="005B2090"/>
    <w:rsid w:val="005B46FB"/>
    <w:rsid w:val="005B6774"/>
    <w:rsid w:val="005D2439"/>
    <w:rsid w:val="005E2067"/>
    <w:rsid w:val="005F4A2B"/>
    <w:rsid w:val="00607E5C"/>
    <w:rsid w:val="0061068E"/>
    <w:rsid w:val="006135AB"/>
    <w:rsid w:val="00623DDB"/>
    <w:rsid w:val="006257EA"/>
    <w:rsid w:val="00626EBC"/>
    <w:rsid w:val="00630462"/>
    <w:rsid w:val="00635A59"/>
    <w:rsid w:val="00642F05"/>
    <w:rsid w:val="006433AB"/>
    <w:rsid w:val="00645512"/>
    <w:rsid w:val="00655245"/>
    <w:rsid w:val="00656511"/>
    <w:rsid w:val="00663EB9"/>
    <w:rsid w:val="00663ECA"/>
    <w:rsid w:val="00664F2E"/>
    <w:rsid w:val="00666FF2"/>
    <w:rsid w:val="006720B3"/>
    <w:rsid w:val="00680070"/>
    <w:rsid w:val="00681C21"/>
    <w:rsid w:val="006870D8"/>
    <w:rsid w:val="00691C4D"/>
    <w:rsid w:val="00696F7B"/>
    <w:rsid w:val="006B458A"/>
    <w:rsid w:val="006B603E"/>
    <w:rsid w:val="006C13BE"/>
    <w:rsid w:val="006C13DF"/>
    <w:rsid w:val="006C4F90"/>
    <w:rsid w:val="006D12AB"/>
    <w:rsid w:val="006D3785"/>
    <w:rsid w:val="006D53D0"/>
    <w:rsid w:val="006D53E2"/>
    <w:rsid w:val="006D67A4"/>
    <w:rsid w:val="006E5AEC"/>
    <w:rsid w:val="006E76F8"/>
    <w:rsid w:val="006F2C08"/>
    <w:rsid w:val="006F5A04"/>
    <w:rsid w:val="006F7E61"/>
    <w:rsid w:val="007126E5"/>
    <w:rsid w:val="00714AE9"/>
    <w:rsid w:val="007171B8"/>
    <w:rsid w:val="007218C0"/>
    <w:rsid w:val="00741591"/>
    <w:rsid w:val="00750812"/>
    <w:rsid w:val="00754336"/>
    <w:rsid w:val="007544EB"/>
    <w:rsid w:val="00766508"/>
    <w:rsid w:val="00766EDB"/>
    <w:rsid w:val="007702DC"/>
    <w:rsid w:val="00770346"/>
    <w:rsid w:val="00777FF9"/>
    <w:rsid w:val="0078668D"/>
    <w:rsid w:val="0079233A"/>
    <w:rsid w:val="00794B4B"/>
    <w:rsid w:val="007A1DB1"/>
    <w:rsid w:val="007A50CD"/>
    <w:rsid w:val="007A67C0"/>
    <w:rsid w:val="007B44BA"/>
    <w:rsid w:val="007D2B5D"/>
    <w:rsid w:val="007E04BB"/>
    <w:rsid w:val="007E6EFD"/>
    <w:rsid w:val="007E75C2"/>
    <w:rsid w:val="007F3C4F"/>
    <w:rsid w:val="0080667E"/>
    <w:rsid w:val="008225CF"/>
    <w:rsid w:val="00822E42"/>
    <w:rsid w:val="0083115C"/>
    <w:rsid w:val="008345A4"/>
    <w:rsid w:val="0083665C"/>
    <w:rsid w:val="008405D9"/>
    <w:rsid w:val="00840634"/>
    <w:rsid w:val="00842710"/>
    <w:rsid w:val="008475B0"/>
    <w:rsid w:val="00853943"/>
    <w:rsid w:val="00855572"/>
    <w:rsid w:val="00855961"/>
    <w:rsid w:val="008564DC"/>
    <w:rsid w:val="00860B90"/>
    <w:rsid w:val="00862FC1"/>
    <w:rsid w:val="0086555F"/>
    <w:rsid w:val="00870795"/>
    <w:rsid w:val="00880014"/>
    <w:rsid w:val="00887518"/>
    <w:rsid w:val="0089213A"/>
    <w:rsid w:val="008A183A"/>
    <w:rsid w:val="008A7CF9"/>
    <w:rsid w:val="008C1877"/>
    <w:rsid w:val="008C3B65"/>
    <w:rsid w:val="008C5A9D"/>
    <w:rsid w:val="008C665A"/>
    <w:rsid w:val="008D0F71"/>
    <w:rsid w:val="008D2FC7"/>
    <w:rsid w:val="008E58BD"/>
    <w:rsid w:val="008E7D5A"/>
    <w:rsid w:val="008F24A4"/>
    <w:rsid w:val="008F4700"/>
    <w:rsid w:val="0090777F"/>
    <w:rsid w:val="00920637"/>
    <w:rsid w:val="00931116"/>
    <w:rsid w:val="00932AFF"/>
    <w:rsid w:val="009353BC"/>
    <w:rsid w:val="00942C12"/>
    <w:rsid w:val="00943793"/>
    <w:rsid w:val="009474FE"/>
    <w:rsid w:val="009475EA"/>
    <w:rsid w:val="009477CC"/>
    <w:rsid w:val="00953129"/>
    <w:rsid w:val="00955FCC"/>
    <w:rsid w:val="00960A16"/>
    <w:rsid w:val="00975885"/>
    <w:rsid w:val="009834C4"/>
    <w:rsid w:val="0098439A"/>
    <w:rsid w:val="00997811"/>
    <w:rsid w:val="009A017A"/>
    <w:rsid w:val="009A3106"/>
    <w:rsid w:val="009A4948"/>
    <w:rsid w:val="009A5306"/>
    <w:rsid w:val="009A66C7"/>
    <w:rsid w:val="009A7600"/>
    <w:rsid w:val="009B53B5"/>
    <w:rsid w:val="009C32FA"/>
    <w:rsid w:val="009C3E46"/>
    <w:rsid w:val="009D5DF6"/>
    <w:rsid w:val="009E57EF"/>
    <w:rsid w:val="009E6904"/>
    <w:rsid w:val="00A0182B"/>
    <w:rsid w:val="00A12C5A"/>
    <w:rsid w:val="00A25FC6"/>
    <w:rsid w:val="00A30F13"/>
    <w:rsid w:val="00A367DA"/>
    <w:rsid w:val="00A506C9"/>
    <w:rsid w:val="00A56D32"/>
    <w:rsid w:val="00A63230"/>
    <w:rsid w:val="00A64C11"/>
    <w:rsid w:val="00A66EEF"/>
    <w:rsid w:val="00A768F7"/>
    <w:rsid w:val="00A86676"/>
    <w:rsid w:val="00AA0F71"/>
    <w:rsid w:val="00AC4AE0"/>
    <w:rsid w:val="00AC628F"/>
    <w:rsid w:val="00AE20CE"/>
    <w:rsid w:val="00AF0F73"/>
    <w:rsid w:val="00AF34FD"/>
    <w:rsid w:val="00B20039"/>
    <w:rsid w:val="00B3120B"/>
    <w:rsid w:val="00B47895"/>
    <w:rsid w:val="00B53579"/>
    <w:rsid w:val="00B55CAE"/>
    <w:rsid w:val="00B61F34"/>
    <w:rsid w:val="00B6217C"/>
    <w:rsid w:val="00B6391A"/>
    <w:rsid w:val="00B66241"/>
    <w:rsid w:val="00B74C1C"/>
    <w:rsid w:val="00B75CC3"/>
    <w:rsid w:val="00B76C83"/>
    <w:rsid w:val="00B80B51"/>
    <w:rsid w:val="00B85A04"/>
    <w:rsid w:val="00B91FEB"/>
    <w:rsid w:val="00B92C35"/>
    <w:rsid w:val="00BA3EAA"/>
    <w:rsid w:val="00BB2C6C"/>
    <w:rsid w:val="00BC78CC"/>
    <w:rsid w:val="00BE296B"/>
    <w:rsid w:val="00BE7132"/>
    <w:rsid w:val="00BF140B"/>
    <w:rsid w:val="00BF655B"/>
    <w:rsid w:val="00C00984"/>
    <w:rsid w:val="00C12C32"/>
    <w:rsid w:val="00C14D71"/>
    <w:rsid w:val="00C16E82"/>
    <w:rsid w:val="00C21EF1"/>
    <w:rsid w:val="00C40460"/>
    <w:rsid w:val="00C40C6E"/>
    <w:rsid w:val="00C54274"/>
    <w:rsid w:val="00C61C8B"/>
    <w:rsid w:val="00C74810"/>
    <w:rsid w:val="00C76383"/>
    <w:rsid w:val="00C86AC7"/>
    <w:rsid w:val="00C91ADB"/>
    <w:rsid w:val="00C93152"/>
    <w:rsid w:val="00CA09AD"/>
    <w:rsid w:val="00CA172E"/>
    <w:rsid w:val="00CB3945"/>
    <w:rsid w:val="00CE164C"/>
    <w:rsid w:val="00CE7ED5"/>
    <w:rsid w:val="00D06BB9"/>
    <w:rsid w:val="00D22610"/>
    <w:rsid w:val="00D22D64"/>
    <w:rsid w:val="00D31554"/>
    <w:rsid w:val="00D316E6"/>
    <w:rsid w:val="00D36665"/>
    <w:rsid w:val="00D43FCD"/>
    <w:rsid w:val="00D50803"/>
    <w:rsid w:val="00D62099"/>
    <w:rsid w:val="00D65AF1"/>
    <w:rsid w:val="00D70100"/>
    <w:rsid w:val="00D7122E"/>
    <w:rsid w:val="00D72F93"/>
    <w:rsid w:val="00D73D1A"/>
    <w:rsid w:val="00D80730"/>
    <w:rsid w:val="00D84360"/>
    <w:rsid w:val="00D87A98"/>
    <w:rsid w:val="00D93C4A"/>
    <w:rsid w:val="00DA0D37"/>
    <w:rsid w:val="00DA17A3"/>
    <w:rsid w:val="00DA3B2E"/>
    <w:rsid w:val="00DA4E18"/>
    <w:rsid w:val="00DA5358"/>
    <w:rsid w:val="00DB61D3"/>
    <w:rsid w:val="00DB7B85"/>
    <w:rsid w:val="00DC29D8"/>
    <w:rsid w:val="00DC69D5"/>
    <w:rsid w:val="00DC6B99"/>
    <w:rsid w:val="00DD3439"/>
    <w:rsid w:val="00DE39EC"/>
    <w:rsid w:val="00DE458F"/>
    <w:rsid w:val="00DF28AD"/>
    <w:rsid w:val="00DF3A7E"/>
    <w:rsid w:val="00E0550F"/>
    <w:rsid w:val="00E10508"/>
    <w:rsid w:val="00E15CBE"/>
    <w:rsid w:val="00E17DBC"/>
    <w:rsid w:val="00E20299"/>
    <w:rsid w:val="00E26715"/>
    <w:rsid w:val="00E3007C"/>
    <w:rsid w:val="00E52412"/>
    <w:rsid w:val="00E573CC"/>
    <w:rsid w:val="00E62DDB"/>
    <w:rsid w:val="00E70323"/>
    <w:rsid w:val="00E705DB"/>
    <w:rsid w:val="00E721CC"/>
    <w:rsid w:val="00E81F1B"/>
    <w:rsid w:val="00E828E0"/>
    <w:rsid w:val="00E8581B"/>
    <w:rsid w:val="00E905E9"/>
    <w:rsid w:val="00EA0B83"/>
    <w:rsid w:val="00EA17A1"/>
    <w:rsid w:val="00EA232F"/>
    <w:rsid w:val="00EA23F4"/>
    <w:rsid w:val="00EB7F23"/>
    <w:rsid w:val="00EC12F2"/>
    <w:rsid w:val="00EC5876"/>
    <w:rsid w:val="00ED723C"/>
    <w:rsid w:val="00EE5F0F"/>
    <w:rsid w:val="00EE7E48"/>
    <w:rsid w:val="00F0053F"/>
    <w:rsid w:val="00F060E5"/>
    <w:rsid w:val="00F40A03"/>
    <w:rsid w:val="00F63F16"/>
    <w:rsid w:val="00F64ADB"/>
    <w:rsid w:val="00F64E9D"/>
    <w:rsid w:val="00F90909"/>
    <w:rsid w:val="00F91312"/>
    <w:rsid w:val="00FA023B"/>
    <w:rsid w:val="00FB13C7"/>
    <w:rsid w:val="00FB2DA1"/>
    <w:rsid w:val="00FC2E44"/>
    <w:rsid w:val="00FD670F"/>
    <w:rsid w:val="00FD791B"/>
    <w:rsid w:val="00FE1B07"/>
    <w:rsid w:val="00FF1D81"/>
    <w:rsid w:val="00FF59C4"/>
    <w:rsid w:val="00FF78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A02B"/>
  <w15:docId w15:val="{534BDB3F-AB8D-454A-9B1A-2023357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B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link w:val="Heading1Char"/>
    <w:uiPriority w:val="9"/>
    <w:qFormat/>
    <w:rsid w:val="00626EBC"/>
    <w:pPr>
      <w:outlineLvl w:val="0"/>
    </w:pPr>
    <w:rPr>
      <w:rFonts w:ascii="Arial Unicode MS" w:eastAsia="Arial Unicode MS" w:hAnsi="Arial Unicode MS"/>
      <w:b/>
      <w:bCs/>
      <w:kern w:val="36"/>
      <w:sz w:val="38"/>
      <w:szCs w:val="38"/>
      <w:lang w:val="x-none" w:eastAsia="x-none"/>
    </w:rPr>
  </w:style>
  <w:style w:type="paragraph" w:styleId="Heading2">
    <w:name w:val="heading 2"/>
    <w:basedOn w:val="Normal"/>
    <w:next w:val="Normal"/>
    <w:link w:val="Heading2Char"/>
    <w:qFormat/>
    <w:rsid w:val="00626EB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26E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EBC"/>
    <w:rPr>
      <w:rFonts w:ascii="Arial Unicode MS" w:eastAsia="Arial Unicode MS" w:hAnsi="Arial Unicode MS" w:cs="Times New Roman"/>
      <w:b/>
      <w:bCs/>
      <w:kern w:val="36"/>
      <w:sz w:val="38"/>
      <w:szCs w:val="38"/>
      <w:lang w:val="x-none" w:eastAsia="x-none"/>
    </w:rPr>
  </w:style>
  <w:style w:type="character" w:customStyle="1" w:styleId="Heading2Char">
    <w:name w:val="Heading 2 Char"/>
    <w:basedOn w:val="DefaultParagraphFont"/>
    <w:link w:val="Heading2"/>
    <w:rsid w:val="00626EBC"/>
    <w:rPr>
      <w:rFonts w:ascii="Arial" w:eastAsia="MS Mincho" w:hAnsi="Arial" w:cs="Arial"/>
      <w:b/>
      <w:bCs/>
      <w:i/>
      <w:iCs/>
      <w:sz w:val="28"/>
      <w:szCs w:val="28"/>
      <w:lang w:val="en-US" w:eastAsia="ja-JP"/>
    </w:rPr>
  </w:style>
  <w:style w:type="character" w:customStyle="1" w:styleId="Heading3Char">
    <w:name w:val="Heading 3 Char"/>
    <w:basedOn w:val="DefaultParagraphFont"/>
    <w:link w:val="Heading3"/>
    <w:rsid w:val="00626EBC"/>
    <w:rPr>
      <w:rFonts w:ascii="Arial" w:eastAsia="MS Mincho" w:hAnsi="Arial" w:cs="Arial"/>
      <w:b/>
      <w:bCs/>
      <w:sz w:val="26"/>
      <w:szCs w:val="26"/>
      <w:lang w:val="en-US" w:eastAsia="ja-JP"/>
    </w:rPr>
  </w:style>
  <w:style w:type="character" w:styleId="Emphasis">
    <w:name w:val="Emphasis"/>
    <w:uiPriority w:val="20"/>
    <w:qFormat/>
    <w:rsid w:val="00626EBC"/>
    <w:rPr>
      <w:i/>
      <w:iCs/>
    </w:rPr>
  </w:style>
  <w:style w:type="paragraph" w:styleId="Footer">
    <w:name w:val="footer"/>
    <w:basedOn w:val="Normal"/>
    <w:link w:val="FooterChar"/>
    <w:uiPriority w:val="99"/>
    <w:rsid w:val="00626EBC"/>
    <w:pPr>
      <w:tabs>
        <w:tab w:val="center" w:pos="4320"/>
        <w:tab w:val="right" w:pos="8640"/>
      </w:tabs>
    </w:pPr>
    <w:rPr>
      <w:lang w:val="x-none"/>
    </w:rPr>
  </w:style>
  <w:style w:type="character" w:customStyle="1" w:styleId="FooterChar">
    <w:name w:val="Footer Char"/>
    <w:link w:val="Footer"/>
    <w:uiPriority w:val="99"/>
    <w:rsid w:val="00626EBC"/>
    <w:rPr>
      <w:rFonts w:ascii="Times New Roman" w:eastAsia="MS Mincho" w:hAnsi="Times New Roman" w:cs="Times New Roman"/>
      <w:sz w:val="24"/>
      <w:szCs w:val="24"/>
      <w:lang w:val="x-none" w:eastAsia="ja-JP"/>
    </w:rPr>
  </w:style>
  <w:style w:type="character" w:styleId="PageNumber">
    <w:name w:val="page number"/>
    <w:basedOn w:val="DefaultParagraphFont"/>
    <w:rsid w:val="00626EBC"/>
  </w:style>
  <w:style w:type="character" w:styleId="Hyperlink">
    <w:name w:val="Hyperlink"/>
    <w:rsid w:val="00626EBC"/>
    <w:rPr>
      <w:color w:val="0000FF"/>
      <w:u w:val="single"/>
    </w:rPr>
  </w:style>
  <w:style w:type="paragraph" w:styleId="NormalWeb">
    <w:name w:val="Normal (Web)"/>
    <w:basedOn w:val="Normal"/>
    <w:uiPriority w:val="99"/>
    <w:unhideWhenUsed/>
    <w:rsid w:val="00626EBC"/>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626EBC"/>
    <w:pPr>
      <w:pBdr>
        <w:bottom w:val="single" w:sz="6" w:space="1" w:color="auto"/>
      </w:pBdr>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626EBC"/>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626EBC"/>
    <w:pPr>
      <w:pBdr>
        <w:top w:val="single" w:sz="6" w:space="1" w:color="auto"/>
      </w:pBdr>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rsid w:val="00626EBC"/>
    <w:rPr>
      <w:rFonts w:ascii="Arial" w:eastAsia="Times New Roman" w:hAnsi="Arial" w:cs="Times New Roman"/>
      <w:vanish/>
      <w:sz w:val="16"/>
      <w:szCs w:val="16"/>
      <w:lang w:val="x-none" w:eastAsia="x-none"/>
    </w:rPr>
  </w:style>
  <w:style w:type="paragraph" w:styleId="Header">
    <w:name w:val="header"/>
    <w:basedOn w:val="Normal"/>
    <w:link w:val="HeaderChar"/>
    <w:uiPriority w:val="99"/>
    <w:unhideWhenUsed/>
    <w:rsid w:val="00626EBC"/>
    <w:pPr>
      <w:tabs>
        <w:tab w:val="center" w:pos="4680"/>
        <w:tab w:val="right" w:pos="9360"/>
      </w:tabs>
    </w:pPr>
    <w:rPr>
      <w:lang w:val="x-none"/>
    </w:rPr>
  </w:style>
  <w:style w:type="character" w:customStyle="1" w:styleId="HeaderChar">
    <w:name w:val="Header Char"/>
    <w:link w:val="Header"/>
    <w:uiPriority w:val="99"/>
    <w:rsid w:val="00626EBC"/>
    <w:rPr>
      <w:rFonts w:ascii="Times New Roman" w:eastAsia="MS Mincho" w:hAnsi="Times New Roman" w:cs="Times New Roman"/>
      <w:sz w:val="24"/>
      <w:szCs w:val="24"/>
      <w:lang w:val="x-none" w:eastAsia="ja-JP"/>
    </w:rPr>
  </w:style>
  <w:style w:type="paragraph" w:styleId="BalloonText">
    <w:name w:val="Balloon Text"/>
    <w:basedOn w:val="Normal"/>
    <w:link w:val="BalloonTextChar"/>
    <w:uiPriority w:val="99"/>
    <w:semiHidden/>
    <w:unhideWhenUsed/>
    <w:rsid w:val="00626EBC"/>
    <w:rPr>
      <w:rFonts w:ascii="Tahoma" w:hAnsi="Tahoma"/>
      <w:sz w:val="16"/>
      <w:szCs w:val="16"/>
      <w:lang w:val="x-none"/>
    </w:rPr>
  </w:style>
  <w:style w:type="character" w:customStyle="1" w:styleId="BalloonTextChar">
    <w:name w:val="Balloon Text Char"/>
    <w:link w:val="BalloonText"/>
    <w:uiPriority w:val="99"/>
    <w:semiHidden/>
    <w:rsid w:val="00626EBC"/>
    <w:rPr>
      <w:rFonts w:ascii="Tahoma" w:eastAsia="MS Mincho" w:hAnsi="Tahoma" w:cs="Times New Roman"/>
      <w:sz w:val="16"/>
      <w:szCs w:val="16"/>
      <w:lang w:val="x-none" w:eastAsia="ja-JP"/>
    </w:rPr>
  </w:style>
  <w:style w:type="character" w:styleId="HTMLCite">
    <w:name w:val="HTML Cite"/>
    <w:uiPriority w:val="99"/>
    <w:semiHidden/>
    <w:unhideWhenUsed/>
    <w:rsid w:val="00626EBC"/>
    <w:rPr>
      <w:i/>
      <w:iCs/>
    </w:rPr>
  </w:style>
  <w:style w:type="character" w:customStyle="1" w:styleId="f">
    <w:name w:val="f"/>
    <w:basedOn w:val="DefaultParagraphFont"/>
    <w:rsid w:val="00626EBC"/>
  </w:style>
  <w:style w:type="character" w:styleId="FollowedHyperlink">
    <w:name w:val="FollowedHyperlink"/>
    <w:uiPriority w:val="99"/>
    <w:semiHidden/>
    <w:unhideWhenUsed/>
    <w:rsid w:val="00626EBC"/>
    <w:rPr>
      <w:color w:val="800080"/>
      <w:u w:val="single"/>
    </w:rPr>
  </w:style>
  <w:style w:type="paragraph" w:styleId="BodyText">
    <w:name w:val="Body Text"/>
    <w:basedOn w:val="Normal"/>
    <w:link w:val="BodyTextChar"/>
    <w:rsid w:val="00626EBC"/>
    <w:pPr>
      <w:tabs>
        <w:tab w:val="right" w:pos="8640"/>
      </w:tabs>
      <w:spacing w:line="480" w:lineRule="auto"/>
      <w:ind w:firstLine="720"/>
    </w:pPr>
    <w:rPr>
      <w:rFonts w:eastAsia="Times New Roman"/>
      <w:lang w:eastAsia="en-US"/>
    </w:rPr>
  </w:style>
  <w:style w:type="character" w:customStyle="1" w:styleId="BodyTextChar">
    <w:name w:val="Body Text Char"/>
    <w:link w:val="BodyText"/>
    <w:rsid w:val="00626EBC"/>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626EBC"/>
  </w:style>
  <w:style w:type="character" w:customStyle="1" w:styleId="apple-converted-space">
    <w:name w:val="apple-converted-space"/>
    <w:basedOn w:val="DefaultParagraphFont"/>
    <w:rsid w:val="00626EBC"/>
  </w:style>
  <w:style w:type="paragraph" w:customStyle="1" w:styleId="TitleColumnHeading">
    <w:name w:val="Title Column Heading"/>
    <w:basedOn w:val="Normal"/>
    <w:rsid w:val="00626EBC"/>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626EBC"/>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626EBC"/>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626EBC"/>
    <w:rPr>
      <w:rFonts w:ascii="Garamond" w:hAnsi="Garamond"/>
      <w:i/>
      <w:sz w:val="24"/>
      <w:szCs w:val="24"/>
      <w:lang w:val="en-US" w:eastAsia="en-US" w:bidi="ar-SA"/>
    </w:rPr>
  </w:style>
  <w:style w:type="paragraph" w:customStyle="1" w:styleId="Correspondencedetails">
    <w:name w:val="Correspondence details"/>
    <w:basedOn w:val="Normal"/>
    <w:next w:val="Normal"/>
    <w:qFormat/>
    <w:rsid w:val="00626EBC"/>
    <w:rPr>
      <w:rFonts w:eastAsia="Times New Roman"/>
      <w:lang w:val="en-GB" w:eastAsia="en-GB"/>
    </w:rPr>
  </w:style>
  <w:style w:type="paragraph" w:customStyle="1" w:styleId="Notesoncontributors">
    <w:name w:val="Notes on contributors"/>
    <w:basedOn w:val="Normal"/>
    <w:next w:val="Normal"/>
    <w:qFormat/>
    <w:rsid w:val="00626EBC"/>
    <w:rPr>
      <w:rFonts w:eastAsia="Times New Roman"/>
      <w:sz w:val="22"/>
      <w:lang w:val="en-GB" w:eastAsia="en-GB"/>
    </w:rPr>
  </w:style>
  <w:style w:type="paragraph" w:customStyle="1" w:styleId="Firstparagraphstyle">
    <w:name w:val="First paragraph style"/>
    <w:basedOn w:val="Normal"/>
    <w:next w:val="Normal"/>
    <w:qFormat/>
    <w:rsid w:val="00626EBC"/>
    <w:pPr>
      <w:spacing w:line="480" w:lineRule="auto"/>
    </w:pPr>
    <w:rPr>
      <w:rFonts w:eastAsia="Times New Roman"/>
      <w:lang w:val="en-GB" w:eastAsia="en-GB"/>
    </w:rPr>
  </w:style>
  <w:style w:type="paragraph" w:customStyle="1" w:styleId="Authornames">
    <w:name w:val="Author names"/>
    <w:basedOn w:val="Normal"/>
    <w:next w:val="Normal"/>
    <w:qFormat/>
    <w:rsid w:val="00626EBC"/>
    <w:rPr>
      <w:rFonts w:eastAsia="Times New Roman"/>
      <w:sz w:val="28"/>
      <w:lang w:val="en-GB" w:eastAsia="en-GB"/>
    </w:rPr>
  </w:style>
  <w:style w:type="paragraph" w:customStyle="1" w:styleId="Affiliation">
    <w:name w:val="Affiliation"/>
    <w:basedOn w:val="Normal"/>
    <w:next w:val="Normal"/>
    <w:qFormat/>
    <w:rsid w:val="00626EBC"/>
    <w:rPr>
      <w:rFonts w:eastAsia="Times New Roman"/>
      <w:i/>
      <w:lang w:val="en-GB" w:eastAsia="en-GB"/>
    </w:rPr>
  </w:style>
  <w:style w:type="character" w:styleId="CommentReference">
    <w:name w:val="annotation reference"/>
    <w:uiPriority w:val="99"/>
    <w:semiHidden/>
    <w:unhideWhenUsed/>
    <w:rsid w:val="00626EBC"/>
    <w:rPr>
      <w:sz w:val="16"/>
      <w:szCs w:val="16"/>
    </w:rPr>
  </w:style>
  <w:style w:type="paragraph" w:styleId="CommentText">
    <w:name w:val="annotation text"/>
    <w:basedOn w:val="Normal"/>
    <w:link w:val="CommentTextChar"/>
    <w:uiPriority w:val="99"/>
    <w:unhideWhenUsed/>
    <w:rsid w:val="00626EBC"/>
    <w:rPr>
      <w:sz w:val="20"/>
      <w:szCs w:val="20"/>
    </w:rPr>
  </w:style>
  <w:style w:type="character" w:customStyle="1" w:styleId="CommentTextChar">
    <w:name w:val="Comment Text Char"/>
    <w:link w:val="CommentText"/>
    <w:uiPriority w:val="99"/>
    <w:rsid w:val="00626EBC"/>
    <w:rPr>
      <w:rFonts w:ascii="Times New Roman" w:eastAsia="MS Mincho" w:hAnsi="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626EBC"/>
    <w:rPr>
      <w:b/>
      <w:bCs/>
    </w:rPr>
  </w:style>
  <w:style w:type="character" w:customStyle="1" w:styleId="CommentSubjectChar">
    <w:name w:val="Comment Subject Char"/>
    <w:link w:val="CommentSubject"/>
    <w:uiPriority w:val="99"/>
    <w:semiHidden/>
    <w:rsid w:val="00626EBC"/>
    <w:rPr>
      <w:rFonts w:ascii="Times New Roman" w:eastAsia="MS Mincho" w:hAnsi="Times New Roman" w:cs="Times New Roman"/>
      <w:b/>
      <w:bCs/>
      <w:sz w:val="20"/>
      <w:szCs w:val="20"/>
      <w:lang w:val="en-US" w:eastAsia="ja-JP"/>
    </w:rPr>
  </w:style>
  <w:style w:type="paragraph" w:customStyle="1" w:styleId="TTPAuthors">
    <w:name w:val="TTP Author(s)"/>
    <w:basedOn w:val="Normal"/>
    <w:next w:val="Normal"/>
    <w:rsid w:val="00626EBC"/>
    <w:pPr>
      <w:autoSpaceDE w:val="0"/>
      <w:autoSpaceDN w:val="0"/>
      <w:spacing w:before="120"/>
      <w:jc w:val="center"/>
    </w:pPr>
    <w:rPr>
      <w:rFonts w:ascii="Arial" w:eastAsia="Times New Roman" w:hAnsi="Arial" w:cs="Arial"/>
      <w:sz w:val="28"/>
      <w:szCs w:val="28"/>
      <w:lang w:eastAsia="en-US"/>
    </w:rPr>
  </w:style>
  <w:style w:type="paragraph" w:customStyle="1" w:styleId="TTPAddress">
    <w:name w:val="TTP Address"/>
    <w:basedOn w:val="Normal"/>
    <w:rsid w:val="00626EBC"/>
    <w:pPr>
      <w:autoSpaceDE w:val="0"/>
      <w:autoSpaceDN w:val="0"/>
      <w:spacing w:before="120"/>
      <w:jc w:val="center"/>
    </w:pPr>
    <w:rPr>
      <w:rFonts w:ascii="Arial" w:eastAsia="Times New Roman" w:hAnsi="Arial" w:cs="Arial"/>
      <w:sz w:val="22"/>
      <w:szCs w:val="22"/>
      <w:lang w:eastAsia="en-US"/>
    </w:rPr>
  </w:style>
  <w:style w:type="paragraph" w:customStyle="1" w:styleId="EndNoteBibliography">
    <w:name w:val="EndNote Bibliography"/>
    <w:basedOn w:val="Normal"/>
    <w:link w:val="EndNoteBibliographyChar"/>
    <w:rsid w:val="00626EBC"/>
    <w:pPr>
      <w:widowControl w:val="0"/>
      <w:jc w:val="both"/>
    </w:pPr>
    <w:rPr>
      <w:rFonts w:ascii="Arial" w:hAnsi="Arial" w:cs="Arial"/>
      <w:noProof/>
      <w:kern w:val="2"/>
      <w:sz w:val="22"/>
      <w:szCs w:val="20"/>
    </w:rPr>
  </w:style>
  <w:style w:type="character" w:customStyle="1" w:styleId="EndNoteBibliographyChar">
    <w:name w:val="EndNote Bibliography Char"/>
    <w:link w:val="EndNoteBibliography"/>
    <w:rsid w:val="00626EBC"/>
    <w:rPr>
      <w:rFonts w:ascii="Arial" w:eastAsia="MS Mincho" w:hAnsi="Arial" w:cs="Arial"/>
      <w:noProof/>
      <w:kern w:val="2"/>
      <w:szCs w:val="20"/>
      <w:lang w:val="en-US" w:eastAsia="ja-JP"/>
    </w:rPr>
  </w:style>
  <w:style w:type="paragraph" w:customStyle="1" w:styleId="EndNoteBibliographyTitle">
    <w:name w:val="EndNote Bibliography Title"/>
    <w:basedOn w:val="Normal"/>
    <w:link w:val="EndNoteBibliographyTitleChar"/>
    <w:rsid w:val="00626EBC"/>
    <w:pPr>
      <w:jc w:val="center"/>
    </w:pPr>
    <w:rPr>
      <w:rFonts w:ascii="Arial" w:hAnsi="Arial" w:cs="Arial"/>
      <w:noProof/>
      <w:sz w:val="22"/>
    </w:rPr>
  </w:style>
  <w:style w:type="character" w:customStyle="1" w:styleId="EndNoteBibliographyTitleChar">
    <w:name w:val="EndNote Bibliography Title Char"/>
    <w:link w:val="EndNoteBibliographyTitle"/>
    <w:rsid w:val="00626EBC"/>
    <w:rPr>
      <w:rFonts w:ascii="Arial" w:eastAsia="MS Mincho" w:hAnsi="Arial" w:cs="Arial"/>
      <w:noProof/>
      <w:szCs w:val="24"/>
      <w:lang w:val="en-US" w:eastAsia="ja-JP"/>
    </w:rPr>
  </w:style>
  <w:style w:type="table" w:styleId="TableGrid">
    <w:name w:val="Table Grid"/>
    <w:basedOn w:val="TableNormal"/>
    <w:uiPriority w:val="39"/>
    <w:rsid w:val="0017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ornames">
    <w:name w:val="Contributor  names"/>
    <w:basedOn w:val="Normal"/>
    <w:uiPriority w:val="99"/>
    <w:rsid w:val="00471BCF"/>
    <w:pPr>
      <w:widowControl w:val="0"/>
      <w:jc w:val="center"/>
    </w:pPr>
    <w:rPr>
      <w:kern w:val="2"/>
      <w:sz w:val="20"/>
      <w:szCs w:val="20"/>
    </w:rPr>
  </w:style>
  <w:style w:type="character" w:customStyle="1" w:styleId="Mention1">
    <w:name w:val="Mention1"/>
    <w:basedOn w:val="DefaultParagraphFont"/>
    <w:uiPriority w:val="99"/>
    <w:semiHidden/>
    <w:unhideWhenUsed/>
    <w:rsid w:val="006C4F90"/>
    <w:rPr>
      <w:color w:val="2B579A"/>
      <w:shd w:val="clear" w:color="auto" w:fill="E6E6E6"/>
    </w:rPr>
  </w:style>
  <w:style w:type="paragraph" w:customStyle="1" w:styleId="Pa7">
    <w:name w:val="Pa7"/>
    <w:basedOn w:val="Normal"/>
    <w:next w:val="Normal"/>
    <w:uiPriority w:val="99"/>
    <w:rsid w:val="00042043"/>
    <w:pPr>
      <w:autoSpaceDE w:val="0"/>
      <w:autoSpaceDN w:val="0"/>
      <w:adjustRightInd w:val="0"/>
      <w:spacing w:line="201" w:lineRule="atLeast"/>
    </w:pPr>
    <w:rPr>
      <w:rFonts w:eastAsia="Times New Roman"/>
      <w:lang w:eastAsia="zh-CN"/>
    </w:rPr>
  </w:style>
  <w:style w:type="paragraph" w:customStyle="1" w:styleId="Pa12">
    <w:name w:val="Pa12"/>
    <w:basedOn w:val="Normal"/>
    <w:next w:val="Normal"/>
    <w:uiPriority w:val="99"/>
    <w:rsid w:val="00E81F1B"/>
    <w:pPr>
      <w:autoSpaceDE w:val="0"/>
      <w:autoSpaceDN w:val="0"/>
      <w:adjustRightInd w:val="0"/>
      <w:spacing w:line="141" w:lineRule="atLeast"/>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diagramQuickStyle" Target="diagrams/quickStyle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eader" Target="head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5F52AD-6A1E-4819-A70A-034708B59997}" type="doc">
      <dgm:prSet loTypeId="urn:microsoft.com/office/officeart/2005/8/layout/process1" loCatId="process" qsTypeId="urn:microsoft.com/office/officeart/2005/8/quickstyle/simple1" qsCatId="simple" csTypeId="urn:microsoft.com/office/officeart/2005/8/colors/accent1_2" csCatId="accent1" phldr="1"/>
      <dgm:spPr/>
    </dgm:pt>
    <dgm:pt modelId="{C3BFCE63-D24C-4092-92F0-18DDC76892A9}">
      <dgm:prSet phldrT="[Text]" custT="1"/>
      <dgm:spPr>
        <a:xfrm>
          <a:off x="3859"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Half press (HP)</a:t>
          </a:r>
        </a:p>
      </dgm:t>
    </dgm:pt>
    <dgm:pt modelId="{22A54A0F-1472-4C75-A884-2C02F77CEBAE}" type="parTrans" cxnId="{EC4602C8-F186-48ED-A09E-49A2CFF91F2F}">
      <dgm:prSet/>
      <dgm:spPr/>
      <dgm:t>
        <a:bodyPr/>
        <a:lstStyle/>
        <a:p>
          <a:endParaRPr lang="en-US"/>
        </a:p>
      </dgm:t>
    </dgm:pt>
    <dgm:pt modelId="{8BCE7043-AC3D-4726-B005-CB9931246F2F}" type="sibTrans" cxnId="{EC4602C8-F186-48ED-A09E-49A2CFF91F2F}">
      <dgm:prSet/>
      <dgm:spPr>
        <a:xfrm>
          <a:off x="1272711" y="38893"/>
          <a:ext cx="244542" cy="2860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3157372-071F-446A-8220-110A55B4A323}">
      <dgm:prSet phldrT="[Text]" custT="1"/>
      <dgm:spPr>
        <a:xfrm>
          <a:off x="1618761"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Release (R)</a:t>
          </a:r>
        </a:p>
      </dgm:t>
    </dgm:pt>
    <dgm:pt modelId="{9C2602F9-EA9A-4E35-993E-73FD15E41D7B}" type="parTrans" cxnId="{E8345BEC-596C-4228-A159-C2997409CA45}">
      <dgm:prSet/>
      <dgm:spPr/>
      <dgm:t>
        <a:bodyPr/>
        <a:lstStyle/>
        <a:p>
          <a:endParaRPr lang="en-US"/>
        </a:p>
      </dgm:t>
    </dgm:pt>
    <dgm:pt modelId="{304D4F68-35D3-4C54-A461-26F6E98939AF}" type="sibTrans" cxnId="{E8345BEC-596C-4228-A159-C2997409CA45}">
      <dgm:prSet/>
      <dgm:spPr>
        <a:xfrm>
          <a:off x="2887613" y="38893"/>
          <a:ext cx="244542" cy="2860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E0562186-0442-4611-9D6E-460326641976}">
      <dgm:prSet phldrT="[Text]" custT="1"/>
      <dgm:spPr>
        <a:xfrm>
          <a:off x="3233664"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Full press (FP)</a:t>
          </a:r>
        </a:p>
      </dgm:t>
    </dgm:pt>
    <dgm:pt modelId="{E5804BF4-52F2-41C4-8E3F-73A49D1C6AF7}" type="parTrans" cxnId="{985C24E9-A615-41B4-9C3B-794D994F2B25}">
      <dgm:prSet/>
      <dgm:spPr/>
      <dgm:t>
        <a:bodyPr/>
        <a:lstStyle/>
        <a:p>
          <a:endParaRPr lang="en-US"/>
        </a:p>
      </dgm:t>
    </dgm:pt>
    <dgm:pt modelId="{7CEAC920-9C5C-4806-BC16-7F8EF3D5F9A4}" type="sibTrans" cxnId="{985C24E9-A615-41B4-9C3B-794D994F2B25}">
      <dgm:prSet/>
      <dgm:spPr/>
      <dgm:t>
        <a:bodyPr/>
        <a:lstStyle/>
        <a:p>
          <a:endParaRPr lang="en-US"/>
        </a:p>
      </dgm:t>
    </dgm:pt>
    <dgm:pt modelId="{1C491453-4740-4B28-A419-563AA3D73340}" type="pres">
      <dgm:prSet presAssocID="{135F52AD-6A1E-4819-A70A-034708B59997}" presName="Name0" presStyleCnt="0">
        <dgm:presLayoutVars>
          <dgm:dir/>
          <dgm:resizeHandles val="exact"/>
        </dgm:presLayoutVars>
      </dgm:prSet>
      <dgm:spPr/>
    </dgm:pt>
    <dgm:pt modelId="{79606943-C1C2-4516-BEF7-801A4E98C157}" type="pres">
      <dgm:prSet presAssocID="{C3BFCE63-D24C-4092-92F0-18DDC76892A9}" presName="node" presStyleLbl="node1" presStyleIdx="0" presStyleCnt="3">
        <dgm:presLayoutVars>
          <dgm:bulletEnabled val="1"/>
        </dgm:presLayoutVars>
      </dgm:prSet>
      <dgm:spPr>
        <a:prstGeom prst="roundRect">
          <a:avLst>
            <a:gd name="adj" fmla="val 10000"/>
          </a:avLst>
        </a:prstGeom>
      </dgm:spPr>
    </dgm:pt>
    <dgm:pt modelId="{6D4ABB3E-0099-483F-B056-93676F9515AB}" type="pres">
      <dgm:prSet presAssocID="{8BCE7043-AC3D-4726-B005-CB9931246F2F}" presName="sibTrans" presStyleLbl="sibTrans2D1" presStyleIdx="0" presStyleCnt="2"/>
      <dgm:spPr>
        <a:prstGeom prst="rightArrow">
          <a:avLst>
            <a:gd name="adj1" fmla="val 60000"/>
            <a:gd name="adj2" fmla="val 50000"/>
          </a:avLst>
        </a:prstGeom>
      </dgm:spPr>
    </dgm:pt>
    <dgm:pt modelId="{824F1B7B-B900-4D61-BB04-3EDAE53540F0}" type="pres">
      <dgm:prSet presAssocID="{8BCE7043-AC3D-4726-B005-CB9931246F2F}" presName="connectorText" presStyleLbl="sibTrans2D1" presStyleIdx="0" presStyleCnt="2"/>
      <dgm:spPr/>
    </dgm:pt>
    <dgm:pt modelId="{247BFEBA-C4AD-4F60-8C31-6B03559197A3}" type="pres">
      <dgm:prSet presAssocID="{F3157372-071F-446A-8220-110A55B4A323}" presName="node" presStyleLbl="node1" presStyleIdx="1" presStyleCnt="3">
        <dgm:presLayoutVars>
          <dgm:bulletEnabled val="1"/>
        </dgm:presLayoutVars>
      </dgm:prSet>
      <dgm:spPr>
        <a:prstGeom prst="roundRect">
          <a:avLst>
            <a:gd name="adj" fmla="val 10000"/>
          </a:avLst>
        </a:prstGeom>
      </dgm:spPr>
    </dgm:pt>
    <dgm:pt modelId="{7EDD406C-6441-4221-BEAA-685585A73E0C}" type="pres">
      <dgm:prSet presAssocID="{304D4F68-35D3-4C54-A461-26F6E98939AF}" presName="sibTrans" presStyleLbl="sibTrans2D1" presStyleIdx="1" presStyleCnt="2"/>
      <dgm:spPr>
        <a:prstGeom prst="rightArrow">
          <a:avLst>
            <a:gd name="adj1" fmla="val 60000"/>
            <a:gd name="adj2" fmla="val 50000"/>
          </a:avLst>
        </a:prstGeom>
      </dgm:spPr>
    </dgm:pt>
    <dgm:pt modelId="{B46F4464-5003-410D-AC7D-8D104366609F}" type="pres">
      <dgm:prSet presAssocID="{304D4F68-35D3-4C54-A461-26F6E98939AF}" presName="connectorText" presStyleLbl="sibTrans2D1" presStyleIdx="1" presStyleCnt="2"/>
      <dgm:spPr/>
    </dgm:pt>
    <dgm:pt modelId="{54EB5FEE-57CA-487B-96C5-772309EF953D}" type="pres">
      <dgm:prSet presAssocID="{E0562186-0442-4611-9D6E-460326641976}" presName="node" presStyleLbl="node1" presStyleIdx="2" presStyleCnt="3">
        <dgm:presLayoutVars>
          <dgm:bulletEnabled val="1"/>
        </dgm:presLayoutVars>
      </dgm:prSet>
      <dgm:spPr>
        <a:prstGeom prst="roundRect">
          <a:avLst>
            <a:gd name="adj" fmla="val 10000"/>
          </a:avLst>
        </a:prstGeom>
      </dgm:spPr>
    </dgm:pt>
  </dgm:ptLst>
  <dgm:cxnLst>
    <dgm:cxn modelId="{AD86B72E-6B51-4FC7-983F-076CCFCDAFD9}" type="presOf" srcId="{C3BFCE63-D24C-4092-92F0-18DDC76892A9}" destId="{79606943-C1C2-4516-BEF7-801A4E98C157}" srcOrd="0" destOrd="0" presId="urn:microsoft.com/office/officeart/2005/8/layout/process1"/>
    <dgm:cxn modelId="{11465830-4B73-4DFD-9BB3-65B7C2F9E0B1}" type="presOf" srcId="{F3157372-071F-446A-8220-110A55B4A323}" destId="{247BFEBA-C4AD-4F60-8C31-6B03559197A3}" srcOrd="0" destOrd="0" presId="urn:microsoft.com/office/officeart/2005/8/layout/process1"/>
    <dgm:cxn modelId="{75EA046D-89D1-4073-86D2-3BD8E308B02F}" type="presOf" srcId="{8BCE7043-AC3D-4726-B005-CB9931246F2F}" destId="{824F1B7B-B900-4D61-BB04-3EDAE53540F0}" srcOrd="1" destOrd="0" presId="urn:microsoft.com/office/officeart/2005/8/layout/process1"/>
    <dgm:cxn modelId="{5B769471-4D32-4301-8CBA-EAF8101C1261}" type="presOf" srcId="{135F52AD-6A1E-4819-A70A-034708B59997}" destId="{1C491453-4740-4B28-A419-563AA3D73340}" srcOrd="0" destOrd="0" presId="urn:microsoft.com/office/officeart/2005/8/layout/process1"/>
    <dgm:cxn modelId="{E672D599-61FB-4F14-B5EB-64BB3276003B}" type="presOf" srcId="{8BCE7043-AC3D-4726-B005-CB9931246F2F}" destId="{6D4ABB3E-0099-483F-B056-93676F9515AB}" srcOrd="0" destOrd="0" presId="urn:microsoft.com/office/officeart/2005/8/layout/process1"/>
    <dgm:cxn modelId="{EC4602C8-F186-48ED-A09E-49A2CFF91F2F}" srcId="{135F52AD-6A1E-4819-A70A-034708B59997}" destId="{C3BFCE63-D24C-4092-92F0-18DDC76892A9}" srcOrd="0" destOrd="0" parTransId="{22A54A0F-1472-4C75-A884-2C02F77CEBAE}" sibTransId="{8BCE7043-AC3D-4726-B005-CB9931246F2F}"/>
    <dgm:cxn modelId="{70F43ECC-FF39-44E3-B8E0-1755F0DA6326}" type="presOf" srcId="{304D4F68-35D3-4C54-A461-26F6E98939AF}" destId="{B46F4464-5003-410D-AC7D-8D104366609F}" srcOrd="1" destOrd="0" presId="urn:microsoft.com/office/officeart/2005/8/layout/process1"/>
    <dgm:cxn modelId="{985C24E9-A615-41B4-9C3B-794D994F2B25}" srcId="{135F52AD-6A1E-4819-A70A-034708B59997}" destId="{E0562186-0442-4611-9D6E-460326641976}" srcOrd="2" destOrd="0" parTransId="{E5804BF4-52F2-41C4-8E3F-73A49D1C6AF7}" sibTransId="{7CEAC920-9C5C-4806-BC16-7F8EF3D5F9A4}"/>
    <dgm:cxn modelId="{67FE7CEA-8724-4F52-A378-E07ED183EA90}" type="presOf" srcId="{E0562186-0442-4611-9D6E-460326641976}" destId="{54EB5FEE-57CA-487B-96C5-772309EF953D}" srcOrd="0" destOrd="0" presId="urn:microsoft.com/office/officeart/2005/8/layout/process1"/>
    <dgm:cxn modelId="{E8345BEC-596C-4228-A159-C2997409CA45}" srcId="{135F52AD-6A1E-4819-A70A-034708B59997}" destId="{F3157372-071F-446A-8220-110A55B4A323}" srcOrd="1" destOrd="0" parTransId="{9C2602F9-EA9A-4E35-993E-73FD15E41D7B}" sibTransId="{304D4F68-35D3-4C54-A461-26F6E98939AF}"/>
    <dgm:cxn modelId="{77CDB6FD-282D-440F-82F1-867AC71FF05B}" type="presOf" srcId="{304D4F68-35D3-4C54-A461-26F6E98939AF}" destId="{7EDD406C-6441-4221-BEAA-685585A73E0C}" srcOrd="0" destOrd="0" presId="urn:microsoft.com/office/officeart/2005/8/layout/process1"/>
    <dgm:cxn modelId="{C1D1C922-AD22-4711-980A-89BBEE6461BC}" type="presParOf" srcId="{1C491453-4740-4B28-A419-563AA3D73340}" destId="{79606943-C1C2-4516-BEF7-801A4E98C157}" srcOrd="0" destOrd="0" presId="urn:microsoft.com/office/officeart/2005/8/layout/process1"/>
    <dgm:cxn modelId="{7E6C11DC-12E8-4163-B217-8D13DCD75C0D}" type="presParOf" srcId="{1C491453-4740-4B28-A419-563AA3D73340}" destId="{6D4ABB3E-0099-483F-B056-93676F9515AB}" srcOrd="1" destOrd="0" presId="urn:microsoft.com/office/officeart/2005/8/layout/process1"/>
    <dgm:cxn modelId="{8CEF0817-9F02-438F-962F-1182781DA4DD}" type="presParOf" srcId="{6D4ABB3E-0099-483F-B056-93676F9515AB}" destId="{824F1B7B-B900-4D61-BB04-3EDAE53540F0}" srcOrd="0" destOrd="0" presId="urn:microsoft.com/office/officeart/2005/8/layout/process1"/>
    <dgm:cxn modelId="{F2E0F252-7789-4CBB-AA76-AA6AD36FB579}" type="presParOf" srcId="{1C491453-4740-4B28-A419-563AA3D73340}" destId="{247BFEBA-C4AD-4F60-8C31-6B03559197A3}" srcOrd="2" destOrd="0" presId="urn:microsoft.com/office/officeart/2005/8/layout/process1"/>
    <dgm:cxn modelId="{EE6F5265-EA4C-45EC-897E-5590BC6E9AE1}" type="presParOf" srcId="{1C491453-4740-4B28-A419-563AA3D73340}" destId="{7EDD406C-6441-4221-BEAA-685585A73E0C}" srcOrd="3" destOrd="0" presId="urn:microsoft.com/office/officeart/2005/8/layout/process1"/>
    <dgm:cxn modelId="{18A34BA4-2416-4411-B516-88EF03ECE171}" type="presParOf" srcId="{7EDD406C-6441-4221-BEAA-685585A73E0C}" destId="{B46F4464-5003-410D-AC7D-8D104366609F}" srcOrd="0" destOrd="0" presId="urn:microsoft.com/office/officeart/2005/8/layout/process1"/>
    <dgm:cxn modelId="{659D386B-C029-416A-8ADA-EC92605DFF90}" type="presParOf" srcId="{1C491453-4740-4B28-A419-563AA3D73340}" destId="{54EB5FEE-57CA-487B-96C5-772309EF953D}"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606943-C1C2-4516-BEF7-801A4E98C157}">
      <dsp:nvSpPr>
        <dsp:cNvPr id="0" name=""/>
        <dsp:cNvSpPr/>
      </dsp:nvSpPr>
      <dsp:spPr>
        <a:xfrm>
          <a:off x="3859"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Half press (HP)</a:t>
          </a:r>
        </a:p>
      </dsp:txBody>
      <dsp:txXfrm>
        <a:off x="14516" y="10657"/>
        <a:ext cx="1132187" cy="342541"/>
      </dsp:txXfrm>
    </dsp:sp>
    <dsp:sp modelId="{6D4ABB3E-0099-483F-B056-93676F9515AB}">
      <dsp:nvSpPr>
        <dsp:cNvPr id="0" name=""/>
        <dsp:cNvSpPr/>
      </dsp:nvSpPr>
      <dsp:spPr>
        <a:xfrm>
          <a:off x="1272711" y="38893"/>
          <a:ext cx="244542" cy="2860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1272711" y="96107"/>
        <a:ext cx="171179" cy="171640"/>
      </dsp:txXfrm>
    </dsp:sp>
    <dsp:sp modelId="{247BFEBA-C4AD-4F60-8C31-6B03559197A3}">
      <dsp:nvSpPr>
        <dsp:cNvPr id="0" name=""/>
        <dsp:cNvSpPr/>
      </dsp:nvSpPr>
      <dsp:spPr>
        <a:xfrm>
          <a:off x="1618761"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Release (R)</a:t>
          </a:r>
        </a:p>
      </dsp:txBody>
      <dsp:txXfrm>
        <a:off x="1629418" y="10657"/>
        <a:ext cx="1132187" cy="342541"/>
      </dsp:txXfrm>
    </dsp:sp>
    <dsp:sp modelId="{7EDD406C-6441-4221-BEAA-685585A73E0C}">
      <dsp:nvSpPr>
        <dsp:cNvPr id="0" name=""/>
        <dsp:cNvSpPr/>
      </dsp:nvSpPr>
      <dsp:spPr>
        <a:xfrm>
          <a:off x="2887613" y="38893"/>
          <a:ext cx="244542" cy="2860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2887613" y="96107"/>
        <a:ext cx="171179" cy="171640"/>
      </dsp:txXfrm>
    </dsp:sp>
    <dsp:sp modelId="{54EB5FEE-57CA-487B-96C5-772309EF953D}">
      <dsp:nvSpPr>
        <dsp:cNvPr id="0" name=""/>
        <dsp:cNvSpPr/>
      </dsp:nvSpPr>
      <dsp:spPr>
        <a:xfrm>
          <a:off x="3233664"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Full press (FP)</a:t>
          </a:r>
        </a:p>
      </dsp:txBody>
      <dsp:txXfrm>
        <a:off x="3244321" y="10657"/>
        <a:ext cx="1132187" cy="3425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D14F-B90C-409B-9CDA-E2274FA6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6800</Words>
  <Characters>38764</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 wbona</dc:creator>
  <cp:lastModifiedBy>Farhana Mohd Foudzi</cp:lastModifiedBy>
  <cp:revision>2</cp:revision>
  <dcterms:created xsi:type="dcterms:W3CDTF">2024-11-13T05:05:00Z</dcterms:created>
  <dcterms:modified xsi:type="dcterms:W3CDTF">2024-11-13T05:05:00Z</dcterms:modified>
</cp:coreProperties>
</file>